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default" w:ascii="方正小标宋简体" w:eastAsia="方正小标宋简体"/>
          <w:sz w:val="44"/>
          <w:szCs w:val="44"/>
          <w:lang w:val="en-US" w:eastAsia="zh-CN"/>
        </w:rPr>
      </w:pPr>
      <w:r>
        <w:rPr>
          <w:rFonts w:hint="eastAsia" w:ascii="方正小标宋简体" w:hAnsi="方正小标宋简体" w:eastAsia="方正小标宋简体" w:cs="方正小标宋简体"/>
          <w:color w:val="auto"/>
          <w:sz w:val="44"/>
          <w:szCs w:val="44"/>
        </w:rPr>
        <w:t>自贡市妇女联合会</w:t>
      </w:r>
    </w:p>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2023</w:t>
      </w:r>
      <w:r>
        <w:rPr>
          <w:rFonts w:hint="eastAsia" w:ascii="方正小标宋简体" w:eastAsia="方正小标宋简体"/>
          <w:sz w:val="44"/>
          <w:szCs w:val="44"/>
        </w:rPr>
        <w:t>年度</w:t>
      </w:r>
      <w:r>
        <w:rPr>
          <w:rFonts w:hint="eastAsia" w:ascii="方正小标宋简体" w:eastAsia="方正小标宋简体"/>
          <w:sz w:val="44"/>
          <w:szCs w:val="44"/>
          <w:lang w:val="en-US" w:eastAsia="zh-CN"/>
        </w:rPr>
        <w:t>单位</w:t>
      </w:r>
      <w:r>
        <w:rPr>
          <w:rFonts w:hint="eastAsia" w:ascii="方正小标宋简体" w:eastAsia="方正小标宋简体"/>
          <w:sz w:val="44"/>
          <w:szCs w:val="44"/>
        </w:rPr>
        <w:t>决算编制的说明</w:t>
      </w:r>
    </w:p>
    <w:p>
      <w:pPr>
        <w:widowControl/>
        <w:jc w:val="center"/>
        <w:rPr>
          <w:rFonts w:ascii="仿宋_GB2312"/>
          <w:sz w:val="28"/>
          <w:szCs w:val="28"/>
        </w:rPr>
      </w:pPr>
    </w:p>
    <w:p>
      <w:pPr>
        <w:widowControl/>
        <w:jc w:val="center"/>
        <w:rPr>
          <w:rFonts w:ascii="黑体" w:hAnsi="黑体" w:eastAsia="黑体"/>
          <w:color w:val="000000"/>
          <w:sz w:val="48"/>
          <w:szCs w:val="48"/>
        </w:rPr>
      </w:pPr>
      <w:r>
        <w:rPr>
          <w:rFonts w:hint="eastAsia" w:ascii="黑体" w:hAnsi="黑体" w:eastAsia="黑体"/>
          <w:color w:val="000000"/>
          <w:sz w:val="44"/>
          <w:szCs w:val="44"/>
        </w:rPr>
        <w:t>目</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录</w:t>
      </w:r>
    </w:p>
    <w:p>
      <w:pPr>
        <w:pStyle w:val="10"/>
        <w:spacing w:line="500" w:lineRule="exact"/>
        <w:jc w:val="center"/>
        <w:rPr>
          <w:rFonts w:hint="eastAsia" w:ascii="仿宋_GB2312" w:eastAsia="仿宋_GB2312"/>
          <w:i w:val="0"/>
          <w:color w:val="auto"/>
          <w:sz w:val="32"/>
        </w:rPr>
      </w:pPr>
      <w:r>
        <w:rPr>
          <w:rFonts w:hint="eastAsia" w:ascii="仿宋_GB2312" w:eastAsia="仿宋_GB2312"/>
          <w:i w:val="0"/>
          <w:color w:val="auto"/>
          <w:sz w:val="32"/>
        </w:rPr>
        <w:t>公开时间：202</w:t>
      </w:r>
      <w:r>
        <w:rPr>
          <w:rFonts w:hint="eastAsia" w:ascii="仿宋_GB2312" w:eastAsia="仿宋_GB2312"/>
          <w:i w:val="0"/>
          <w:color w:val="auto"/>
          <w:sz w:val="32"/>
          <w:lang w:val="en-US" w:eastAsia="zh-CN"/>
        </w:rPr>
        <w:t>4</w:t>
      </w:r>
      <w:r>
        <w:rPr>
          <w:rFonts w:hint="eastAsia" w:ascii="仿宋_GB2312" w:eastAsia="仿宋_GB2312"/>
          <w:i w:val="0"/>
          <w:color w:val="auto"/>
          <w:sz w:val="32"/>
        </w:rPr>
        <w:t>年</w:t>
      </w:r>
      <w:r>
        <w:rPr>
          <w:rFonts w:hint="eastAsia" w:ascii="仿宋_GB2312" w:eastAsia="仿宋_GB2312"/>
          <w:i w:val="0"/>
          <w:color w:val="auto"/>
          <w:sz w:val="32"/>
          <w:lang w:val="en-US" w:eastAsia="zh-CN"/>
        </w:rPr>
        <w:t>10</w:t>
      </w:r>
      <w:r>
        <w:rPr>
          <w:rFonts w:hint="eastAsia" w:ascii="仿宋_GB2312" w:eastAsia="仿宋_GB2312"/>
          <w:i w:val="0"/>
          <w:color w:val="auto"/>
          <w:sz w:val="32"/>
        </w:rPr>
        <w:t>月</w:t>
      </w:r>
      <w:r>
        <w:rPr>
          <w:rFonts w:hint="eastAsia" w:ascii="仿宋_GB2312" w:eastAsia="仿宋_GB2312"/>
          <w:i w:val="0"/>
          <w:color w:val="auto"/>
          <w:sz w:val="32"/>
          <w:lang w:val="en-US" w:eastAsia="zh-CN"/>
        </w:rPr>
        <w:t>18</w:t>
      </w:r>
      <w:r>
        <w:rPr>
          <w:rFonts w:hint="eastAsia" w:ascii="仿宋_GB2312" w:eastAsia="仿宋_GB2312"/>
          <w:i w:val="0"/>
          <w:color w:val="auto"/>
          <w:sz w:val="32"/>
        </w:rPr>
        <w:t>日</w:t>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TOC \o "1-2" \h \z \u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_Toc3028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 xml:space="preserve">第一部分 </w:t>
      </w:r>
      <w:r>
        <w:rPr>
          <w:rFonts w:hint="eastAsia" w:ascii="仿宋_GB2312" w:hAnsi="仿宋_GB2312" w:eastAsia="仿宋_GB2312" w:cs="仿宋_GB2312"/>
          <w:b w:val="0"/>
          <w:bCs w:val="0"/>
          <w:i w:val="0"/>
          <w:iCs w:val="0"/>
          <w:sz w:val="32"/>
          <w:szCs w:val="32"/>
          <w:lang w:val="en-US" w:eastAsia="zh-CN"/>
        </w:rPr>
        <w:t>单位</w:t>
      </w:r>
      <w:r>
        <w:rPr>
          <w:rFonts w:hint="eastAsia" w:ascii="仿宋_GB2312" w:hAnsi="仿宋_GB2312" w:eastAsia="仿宋_GB2312" w:cs="仿宋_GB2312"/>
          <w:b w:val="0"/>
          <w:bCs w:val="0"/>
          <w:i w:val="0"/>
          <w:iCs w:val="0"/>
          <w:sz w:val="32"/>
          <w:szCs w:val="32"/>
        </w:rPr>
        <w:t>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_Toc3028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_Toc13157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lang w:eastAsia="zh-CN"/>
        </w:rPr>
        <w:t>一、主要职责</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_Toc13157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_Toc1989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lang w:val="en-US" w:eastAsia="zh-CN"/>
        </w:rPr>
        <w:t>二、机构设置</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_Toc13662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 xml:space="preserve">第二部分 </w:t>
      </w:r>
      <w:r>
        <w:rPr>
          <w:rFonts w:hint="eastAsia" w:ascii="仿宋_GB2312" w:hAnsi="仿宋_GB2312" w:eastAsia="仿宋_GB2312" w:cs="仿宋_GB2312"/>
          <w:b w:val="0"/>
          <w:bCs w:val="0"/>
          <w:i w:val="0"/>
          <w:iCs w:val="0"/>
          <w:sz w:val="32"/>
          <w:szCs w:val="32"/>
          <w:lang w:eastAsia="zh-CN"/>
        </w:rPr>
        <w:t>2023</w:t>
      </w:r>
      <w:r>
        <w:rPr>
          <w:rFonts w:hint="eastAsia" w:ascii="仿宋_GB2312" w:hAnsi="仿宋_GB2312" w:eastAsia="仿宋_GB2312" w:cs="仿宋_GB2312"/>
          <w:b w:val="0"/>
          <w:bCs w:val="0"/>
          <w:i w:val="0"/>
          <w:iCs w:val="0"/>
          <w:sz w:val="32"/>
          <w:szCs w:val="32"/>
        </w:rPr>
        <w:t>年度</w:t>
      </w:r>
      <w:r>
        <w:rPr>
          <w:rFonts w:hint="eastAsia" w:ascii="仿宋_GB2312" w:hAnsi="仿宋_GB2312" w:eastAsia="仿宋_GB2312" w:cs="仿宋_GB2312"/>
          <w:b w:val="0"/>
          <w:bCs w:val="0"/>
          <w:i w:val="0"/>
          <w:iCs w:val="0"/>
          <w:sz w:val="32"/>
          <w:szCs w:val="32"/>
          <w:lang w:val="en-US" w:eastAsia="zh-CN"/>
        </w:rPr>
        <w:t>单位</w:t>
      </w:r>
      <w:r>
        <w:rPr>
          <w:rFonts w:hint="eastAsia" w:ascii="仿宋_GB2312" w:hAnsi="仿宋_GB2312" w:eastAsia="仿宋_GB2312" w:cs="仿宋_GB2312"/>
          <w:b w:val="0"/>
          <w:bCs w:val="0"/>
          <w:i w:val="0"/>
          <w:iCs w:val="0"/>
          <w:sz w:val="32"/>
          <w:szCs w:val="32"/>
        </w:rPr>
        <w:t>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_Toc13662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_Toc18582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一、 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_Toc18582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_Toc9811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二、 收入决算情况说明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_Toc9811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_Toc17567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三、 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_Toc17567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_Toc2589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四、财政拨款收入支出决算总体情况说明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_Toc2589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_Toc17328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五、一般公共预算财政拨款支出决算情况说明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_Toc17328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_Toc30529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六、一般公共预算财政拨款基本支出决算情况说明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_Toc30529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8</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_Toc98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七、“三公”经费财政拨款支出决算情况说明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_Toc98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8</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_Toc27509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八、政府性基金预算支出决算情况说明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_Toc27509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10</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_Toc269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九、 国有资本经营预算支出决算情况说明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_Toc269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10</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_Toc15678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十、其他重要事项的情况说明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_Toc15678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10</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_Toc19818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_Toc19818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0"/>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_Toc23450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9</w:t>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_Toc3613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_Toc3613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_Toc21455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一、收入支出决算总表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_Toc21455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_Toc19902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二、收入决算表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_Toc19902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_Toc5842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三、支出决算表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_Toc5842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_Toc3877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四、财政拨款收入支出决算总表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_Toc3877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_Toc750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五、财政拨款支出决算明细表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_Toc750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_Toc19194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六、一般公共预算财政拨款支出决算表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_Toc19194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_Toc7054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七、一般公共预算财政拨款支出决算明细表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_Toc7054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_Toc14041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八、一般公共预算财政拨款基本支出决算表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_Toc14041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_Toc26706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九、一般公共预算财政拨款项目支出决算表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_Toc26706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_Toc2700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十、政府性基金预算财政拨款收入支出决算表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_Toc2700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_Toc32218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十一、国有资本经营预算</w:t>
      </w:r>
      <w:r>
        <w:rPr>
          <w:rFonts w:hint="eastAsia" w:ascii="仿宋_GB2312" w:hAnsi="仿宋_GB2312" w:eastAsia="仿宋_GB2312" w:cs="仿宋_GB2312"/>
          <w:b w:val="0"/>
          <w:bCs w:val="0"/>
          <w:i w:val="0"/>
          <w:iCs w:val="0"/>
          <w:sz w:val="32"/>
          <w:szCs w:val="32"/>
          <w:highlight w:val="none"/>
          <w:lang w:eastAsia="zh-CN"/>
        </w:rPr>
        <w:t>财政拨款收入</w:t>
      </w:r>
      <w:r>
        <w:rPr>
          <w:rFonts w:hint="eastAsia" w:ascii="仿宋_GB2312" w:hAnsi="仿宋_GB2312" w:eastAsia="仿宋_GB2312" w:cs="仿宋_GB2312"/>
          <w:b w:val="0"/>
          <w:bCs w:val="0"/>
          <w:i w:val="0"/>
          <w:iCs w:val="0"/>
          <w:sz w:val="32"/>
          <w:szCs w:val="32"/>
          <w:highlight w:val="none"/>
        </w:rPr>
        <w:t>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_Toc32218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_Toc23596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十二、</w:t>
      </w:r>
      <w:r>
        <w:rPr>
          <w:rFonts w:hint="eastAsia" w:ascii="仿宋_GB2312" w:hAnsi="仿宋_GB2312" w:eastAsia="仿宋_GB2312" w:cs="仿宋_GB2312"/>
          <w:b w:val="0"/>
          <w:bCs w:val="0"/>
          <w:i w:val="0"/>
          <w:iCs w:val="0"/>
          <w:sz w:val="32"/>
          <w:szCs w:val="32"/>
          <w:highlight w:val="none"/>
          <w:lang w:eastAsia="zh-CN"/>
        </w:rPr>
        <w:t>国有资本经营预算财政拨款支出决算表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_Toc23596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_Toc1521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十三、</w:t>
      </w:r>
      <w:r>
        <w:rPr>
          <w:rFonts w:hint="eastAsia" w:ascii="仿宋_GB2312" w:hAnsi="仿宋_GB2312" w:eastAsia="仿宋_GB2312" w:cs="仿宋_GB2312"/>
          <w:b w:val="0"/>
          <w:bCs w:val="0"/>
          <w:i w:val="0"/>
          <w:iCs w:val="0"/>
          <w:sz w:val="32"/>
          <w:szCs w:val="32"/>
          <w:highlight w:val="none"/>
          <w:lang w:eastAsia="zh-CN"/>
        </w:rPr>
        <w:t>财政拨款“三公”经费支出决算表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_Toc1521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2400" w:firstLineChars="750"/>
        <w:textAlignment w:val="auto"/>
        <w:rPr>
          <w:rFonts w:hint="eastAsia" w:ascii="仿宋_GB2312" w:hAnsi="仿宋"/>
          <w:color w:val="FF0000"/>
          <w:szCs w:val="32"/>
        </w:rPr>
      </w:pPr>
      <w:r>
        <w:rPr>
          <w:rFonts w:hint="eastAsia" w:ascii="仿宋_GB2312" w:hAnsi="仿宋_GB2312" w:eastAsia="仿宋_GB2312" w:cs="仿宋_GB2312"/>
          <w:b w:val="0"/>
          <w:bCs w:val="0"/>
          <w:i w:val="0"/>
          <w:iCs w:val="0"/>
          <w:caps/>
          <w:sz w:val="32"/>
          <w:szCs w:val="32"/>
        </w:rPr>
        <w:fldChar w:fldCharType="end"/>
      </w:r>
    </w:p>
    <w:p>
      <w:pPr>
        <w:pStyle w:val="3"/>
        <w:jc w:val="center"/>
        <w:rPr>
          <w:rFonts w:hint="eastAsia" w:ascii="黑体" w:hAnsi="黑体" w:eastAsia="黑体"/>
          <w:b w:val="0"/>
        </w:rPr>
        <w:sectPr>
          <w:pgSz w:w="11906" w:h="16838"/>
          <w:pgMar w:top="1440" w:right="1800" w:bottom="1440" w:left="1800" w:header="851" w:footer="992" w:gutter="0"/>
          <w:pgNumType w:fmt="decimal"/>
          <w:cols w:space="425" w:num="1"/>
          <w:docGrid w:type="lines" w:linePitch="312" w:charSpace="0"/>
        </w:sectPr>
      </w:pPr>
    </w:p>
    <w:p>
      <w:pPr>
        <w:pStyle w:val="3"/>
        <w:jc w:val="center"/>
        <w:rPr>
          <w:rStyle w:val="17"/>
          <w:rFonts w:ascii="黑体" w:hAnsi="黑体" w:eastAsia="黑体"/>
          <w:b/>
          <w:bCs w:val="0"/>
        </w:rPr>
      </w:pPr>
      <w:bookmarkStart w:id="0" w:name="_Toc3028"/>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lang w:val="en-US" w:eastAsia="zh-CN"/>
        </w:rPr>
        <w:t>单位</w:t>
      </w:r>
      <w:r>
        <w:rPr>
          <w:rStyle w:val="17"/>
          <w:rFonts w:hint="eastAsia" w:ascii="黑体" w:hAnsi="黑体" w:eastAsia="黑体"/>
          <w:b w:val="0"/>
          <w:bCs w:val="0"/>
        </w:rPr>
        <w:t>概况</w:t>
      </w:r>
      <w:bookmarkEnd w:id="0"/>
    </w:p>
    <w:p>
      <w:pPr>
        <w:widowControl/>
        <w:jc w:val="left"/>
        <w:rPr>
          <w:rFonts w:ascii="黑体" w:eastAsia="黑体"/>
          <w:color w:val="000000"/>
          <w:sz w:val="32"/>
          <w:szCs w:val="32"/>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ind w:firstLine="640" w:firstLineChars="200"/>
        <w:textAlignment w:val="auto"/>
        <w:rPr>
          <w:rStyle w:val="21"/>
          <w:rFonts w:hint="eastAsia" w:ascii="黑体" w:hAnsi="黑体" w:eastAsia="黑体"/>
          <w:b w:val="0"/>
          <w:bCs w:val="0"/>
          <w:color w:val="auto"/>
          <w:highlight w:val="none"/>
          <w:lang w:eastAsia="zh-CN"/>
        </w:rPr>
      </w:pPr>
      <w:bookmarkStart w:id="1" w:name="_Toc13157"/>
      <w:bookmarkStart w:id="2" w:name="_Toc15396600"/>
      <w:bookmarkStart w:id="3" w:name="_Toc15377197"/>
      <w:r>
        <w:rPr>
          <w:rStyle w:val="21"/>
          <w:rFonts w:hint="eastAsia" w:ascii="黑体" w:hAnsi="黑体" w:eastAsia="黑体"/>
          <w:b w:val="0"/>
          <w:bCs w:val="0"/>
          <w:color w:val="auto"/>
          <w:highlight w:val="none"/>
          <w:lang w:eastAsia="zh-CN"/>
        </w:rPr>
        <w:t>一、主要职责</w:t>
      </w:r>
      <w:bookmarkEnd w:id="1"/>
    </w:p>
    <w:p>
      <w:pPr>
        <w:widowControl/>
        <w:adjustRightInd w:val="0"/>
        <w:snapToGrid w:val="0"/>
        <w:spacing w:line="590" w:lineRule="exact"/>
        <w:ind w:firstLine="720"/>
        <w:jc w:val="left"/>
        <w:rPr>
          <w:rFonts w:hint="default" w:ascii="Times New Roman" w:hAnsi="Times New Roman" w:cs="Times New Roman"/>
          <w:kern w:val="0"/>
          <w:szCs w:val="32"/>
          <w:shd w:val="clear" w:color="auto" w:fill="FFFFFF"/>
          <w:lang w:val="zh-CN"/>
        </w:rPr>
      </w:pPr>
      <w:bookmarkStart w:id="4" w:name="_Toc1989"/>
      <w:r>
        <w:rPr>
          <w:rFonts w:hint="default" w:ascii="Times New Roman" w:hAnsi="Times New Roman" w:cs="Times New Roman"/>
        </w:rPr>
        <w:t>自贡市妇女联合会是中华全国妇女联合会的地方组织，是市委领导下的全市各族各界妇女的群众团体，是党和政府联系妇女群众的桥梁和纽带，是国家政权的重要社会支柱之一</w:t>
      </w:r>
      <w:r>
        <w:rPr>
          <w:rFonts w:hint="default" w:ascii="Times New Roman" w:hAnsi="Times New Roman" w:cs="Times New Roman"/>
          <w:kern w:val="0"/>
          <w:szCs w:val="32"/>
          <w:shd w:val="clear" w:color="auto" w:fill="FFFFFF"/>
          <w:lang w:val="zh-CN"/>
        </w:rPr>
        <w:t>，其主要工作任务是：</w:t>
      </w:r>
    </w:p>
    <w:p>
      <w:pPr>
        <w:spacing w:line="590" w:lineRule="exact"/>
        <w:ind w:firstLine="704" w:firstLineChars="220"/>
        <w:rPr>
          <w:rFonts w:hint="default" w:ascii="Times New Roman" w:hAnsi="Times New Roman" w:cs="Times New Roman"/>
          <w:kern w:val="0"/>
          <w:szCs w:val="32"/>
          <w:shd w:val="clear" w:color="auto" w:fill="FFFFFF"/>
          <w:lang w:val="zh-CN"/>
        </w:rPr>
      </w:pPr>
      <w:r>
        <w:rPr>
          <w:rFonts w:hint="eastAsia" w:cs="Times New Roman"/>
          <w:kern w:val="0"/>
          <w:szCs w:val="32"/>
          <w:shd w:val="clear" w:color="auto" w:fill="FFFFFF"/>
          <w:lang w:val="zh-CN"/>
        </w:rPr>
        <w:t>（一）</w:t>
      </w:r>
      <w:r>
        <w:rPr>
          <w:rFonts w:hint="default" w:ascii="Times New Roman" w:hAnsi="Times New Roman" w:cs="Times New Roman"/>
          <w:kern w:val="0"/>
          <w:szCs w:val="32"/>
          <w:shd w:val="clear" w:color="auto" w:fill="FFFFFF"/>
          <w:lang w:val="zh-CN"/>
        </w:rPr>
        <w:t>根据党的中心任务，指导各级妇联依据《中华全国妇女联合会章程》和妇女代表大会的决议，开展妇女儿童工作，联系团体会员，并给予业务指导。</w:t>
      </w:r>
    </w:p>
    <w:p>
      <w:pPr>
        <w:spacing w:line="590" w:lineRule="exact"/>
        <w:ind w:firstLine="704" w:firstLineChars="220"/>
        <w:rPr>
          <w:rFonts w:hint="default" w:ascii="Times New Roman" w:hAnsi="Times New Roman" w:cs="Times New Roman"/>
          <w:kern w:val="0"/>
          <w:szCs w:val="32"/>
          <w:shd w:val="clear" w:color="auto" w:fill="FFFFFF"/>
          <w:lang w:val="zh-CN"/>
        </w:rPr>
      </w:pPr>
      <w:r>
        <w:rPr>
          <w:rFonts w:hint="eastAsia" w:cs="Times New Roman"/>
          <w:kern w:val="0"/>
          <w:szCs w:val="32"/>
          <w:shd w:val="clear" w:color="auto" w:fill="FFFFFF"/>
          <w:lang w:val="zh-CN"/>
        </w:rPr>
        <w:t>（二）</w:t>
      </w:r>
      <w:r>
        <w:rPr>
          <w:rFonts w:hint="default" w:ascii="Times New Roman" w:hAnsi="Times New Roman" w:cs="Times New Roman"/>
          <w:kern w:val="0"/>
          <w:szCs w:val="32"/>
          <w:shd w:val="clear" w:color="auto" w:fill="FFFFFF"/>
          <w:lang w:val="zh-CN"/>
        </w:rPr>
        <w:t>调查研究我市妇女儿童的情况、问题，及时向市委、市政府反映，并提出建议。</w:t>
      </w:r>
    </w:p>
    <w:p>
      <w:pPr>
        <w:spacing w:line="590" w:lineRule="exact"/>
        <w:ind w:firstLine="704" w:firstLineChars="220"/>
        <w:rPr>
          <w:rFonts w:hint="default" w:ascii="Times New Roman" w:hAnsi="Times New Roman" w:cs="Times New Roman"/>
          <w:kern w:val="0"/>
          <w:szCs w:val="32"/>
          <w:shd w:val="clear" w:color="auto" w:fill="FFFFFF"/>
          <w:lang w:val="zh-CN"/>
        </w:rPr>
      </w:pPr>
      <w:r>
        <w:rPr>
          <w:rFonts w:hint="eastAsia" w:cs="Times New Roman"/>
          <w:kern w:val="0"/>
          <w:szCs w:val="32"/>
          <w:shd w:val="clear" w:color="auto" w:fill="FFFFFF"/>
          <w:lang w:val="zh-CN"/>
        </w:rPr>
        <w:t>（三）</w:t>
      </w:r>
      <w:r>
        <w:rPr>
          <w:rFonts w:hint="default" w:ascii="Times New Roman" w:hAnsi="Times New Roman" w:cs="Times New Roman"/>
          <w:kern w:val="0"/>
          <w:szCs w:val="32"/>
          <w:shd w:val="clear" w:color="auto" w:fill="FFFFFF"/>
          <w:lang w:val="zh-CN"/>
        </w:rPr>
        <w:t>组织动员妇女投身改革开放和社会主义现代化建设，指导全市城镇妇女的“巾帼建功”活动。</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（四）</w:t>
      </w:r>
      <w:r>
        <w:rPr>
          <w:rFonts w:hint="default" w:ascii="Times New Roman" w:hAnsi="Times New Roman" w:cs="Times New Roman"/>
        </w:rPr>
        <w:t>指导各级妇联的宣传舆论工作。教育、引导广大妇女增强自尊、自信、自立、自强的精神，表彰各行各业先进妇女；开展多层次妇女干部培训和妇女职业技术培训，全面提高妇女素质，促进妇女人才成长。</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（五）</w:t>
      </w:r>
      <w:r>
        <w:rPr>
          <w:rFonts w:hint="default" w:ascii="Times New Roman" w:hAnsi="Times New Roman" w:cs="Times New Roman"/>
        </w:rPr>
        <w:t>代表妇女参与国家社会事务的民主管理、民主监督，积极向党委推荐优秀妇女干部，促进妇女参政；参与我市有关妇女儿童政策、规定的制定，维护妇女儿童的合法权益。</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（六）</w:t>
      </w:r>
      <w:r>
        <w:rPr>
          <w:rFonts w:hint="default" w:ascii="Times New Roman" w:hAnsi="Times New Roman" w:cs="Times New Roman"/>
        </w:rPr>
        <w:t>为妇女儿童</w:t>
      </w:r>
      <w:r>
        <w:rPr>
          <w:rFonts w:hint="default" w:ascii="Times New Roman" w:hAnsi="Times New Roman" w:cs="Times New Roman"/>
          <w:color w:val="auto"/>
          <w:lang w:eastAsia="zh-CN"/>
        </w:rPr>
        <w:t>和家庭</w:t>
      </w:r>
      <w:r>
        <w:rPr>
          <w:rFonts w:hint="default" w:ascii="Times New Roman" w:hAnsi="Times New Roman" w:cs="Times New Roman"/>
          <w:color w:val="auto"/>
        </w:rPr>
        <w:t>服务，加强与社会各界的联系，协调和推动社会各界为妇女儿童</w:t>
      </w:r>
      <w:r>
        <w:rPr>
          <w:rFonts w:hint="default" w:ascii="Times New Roman" w:hAnsi="Times New Roman" w:cs="Times New Roman"/>
          <w:color w:val="auto"/>
          <w:lang w:eastAsia="zh-CN"/>
        </w:rPr>
        <w:t>和家庭</w:t>
      </w:r>
      <w:r>
        <w:rPr>
          <w:rFonts w:hint="default" w:ascii="Times New Roman" w:hAnsi="Times New Roman" w:cs="Times New Roman"/>
        </w:rPr>
        <w:t>办实事、办好事。</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（七）</w:t>
      </w:r>
      <w:r>
        <w:rPr>
          <w:rFonts w:hint="default" w:ascii="Times New Roman" w:hAnsi="Times New Roman" w:cs="Times New Roman"/>
        </w:rPr>
        <w:t>加强与各族各界妇女的联系，巩固妇女的大团结。</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（八）</w:t>
      </w:r>
      <w:r>
        <w:rPr>
          <w:rFonts w:hint="default" w:ascii="Times New Roman" w:hAnsi="Times New Roman" w:cs="Times New Roman"/>
        </w:rPr>
        <w:t>承担市政府妇女儿童工作委员会日常工作。</w:t>
      </w:r>
    </w:p>
    <w:p>
      <w:pPr>
        <w:pStyle w:val="4"/>
        <w:keepNext/>
        <w:keepLines/>
        <w:pageBreakBefore w:val="0"/>
        <w:widowControl w:val="0"/>
        <w:kinsoku/>
        <w:wordWrap/>
        <w:overflowPunct/>
        <w:topLinePunct w:val="0"/>
        <w:autoSpaceDE/>
        <w:autoSpaceDN/>
        <w:bidi w:val="0"/>
        <w:adjustRightInd/>
        <w:snapToGrid/>
        <w:spacing w:before="0" w:after="0" w:line="590" w:lineRule="exact"/>
        <w:ind w:firstLine="640" w:firstLineChars="200"/>
        <w:textAlignment w:val="auto"/>
        <w:rPr>
          <w:rFonts w:hint="default" w:ascii="Times New Roman" w:hAnsi="Times New Roman" w:eastAsia="仿宋_GB2312" w:cs="Times New Roman"/>
          <w:b w:val="0"/>
          <w:bCs w:val="0"/>
          <w:kern w:val="2"/>
          <w:sz w:val="32"/>
          <w:szCs w:val="24"/>
          <w:lang w:val="en-US" w:eastAsia="zh-CN" w:bidi="ar-SA"/>
        </w:rPr>
      </w:pPr>
      <w:r>
        <w:rPr>
          <w:rFonts w:hint="eastAsia" w:ascii="Times New Roman" w:hAnsi="Times New Roman" w:cs="Times New Roman"/>
          <w:b w:val="0"/>
          <w:bCs w:val="0"/>
          <w:kern w:val="2"/>
          <w:sz w:val="32"/>
          <w:szCs w:val="24"/>
          <w:lang w:val="en-US" w:eastAsia="zh-CN" w:bidi="ar-SA"/>
        </w:rPr>
        <w:t>（九）</w:t>
      </w:r>
      <w:r>
        <w:rPr>
          <w:rFonts w:hint="default" w:ascii="Times New Roman" w:hAnsi="Times New Roman" w:eastAsia="仿宋_GB2312" w:cs="Times New Roman"/>
          <w:b w:val="0"/>
          <w:bCs w:val="0"/>
          <w:kern w:val="2"/>
          <w:sz w:val="32"/>
          <w:szCs w:val="24"/>
          <w:lang w:val="en-US" w:eastAsia="zh-CN" w:bidi="ar-SA"/>
        </w:rPr>
        <w:t>承办市委、市政府交办的其他事项。</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ind w:firstLine="640" w:firstLineChars="200"/>
        <w:textAlignment w:val="auto"/>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w:t>
      </w:r>
      <w:bookmarkEnd w:id="2"/>
      <w:bookmarkEnd w:id="3"/>
      <w:r>
        <w:rPr>
          <w:rFonts w:hint="eastAsia" w:ascii="黑体" w:hAnsi="黑体" w:eastAsia="黑体"/>
          <w:b w:val="0"/>
          <w:color w:val="auto"/>
          <w:highlight w:val="none"/>
          <w:lang w:val="en-US" w:eastAsia="zh-CN"/>
        </w:rPr>
        <w:t>机构设置</w:t>
      </w:r>
      <w:bookmarkEnd w:id="4"/>
    </w:p>
    <w:p>
      <w:pPr>
        <w:spacing w:line="590" w:lineRule="exact"/>
        <w:ind w:firstLine="64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我会设5个职能部</w:t>
      </w:r>
      <w:r>
        <w:rPr>
          <w:rFonts w:hint="eastAsia"/>
          <w:color w:val="auto"/>
          <w:highlight w:val="none"/>
          <w:lang w:eastAsia="zh-CN"/>
        </w:rPr>
        <w:t>门</w:t>
      </w:r>
      <w:r>
        <w:rPr>
          <w:rFonts w:hint="default" w:ascii="Times New Roman" w:hAnsi="Times New Roman" w:cs="Times New Roman"/>
          <w:color w:val="auto"/>
          <w:highlight w:val="none"/>
        </w:rPr>
        <w:t>，分别为办公室、家庭</w:t>
      </w:r>
      <w:r>
        <w:rPr>
          <w:rFonts w:hint="eastAsia" w:cs="Times New Roman"/>
          <w:color w:val="auto"/>
          <w:highlight w:val="none"/>
          <w:lang w:eastAsia="zh-CN"/>
        </w:rPr>
        <w:t>和</w:t>
      </w:r>
      <w:r>
        <w:rPr>
          <w:rFonts w:hint="default" w:ascii="Times New Roman" w:hAnsi="Times New Roman" w:cs="Times New Roman"/>
          <w:color w:val="auto"/>
          <w:highlight w:val="none"/>
        </w:rPr>
        <w:t xml:space="preserve">儿童工作部 </w:t>
      </w:r>
      <w:r>
        <w:rPr>
          <w:rFonts w:hint="eastAsia" w:cs="Times New Roman"/>
          <w:color w:val="auto"/>
          <w:highlight w:val="none"/>
          <w:lang w:eastAsia="zh-CN"/>
        </w:rPr>
        <w:t>（</w:t>
      </w:r>
      <w:r>
        <w:rPr>
          <w:rFonts w:hint="default" w:ascii="Times New Roman" w:hAnsi="Times New Roman" w:cs="Times New Roman"/>
          <w:color w:val="auto"/>
          <w:highlight w:val="none"/>
        </w:rPr>
        <w:t>市政府</w:t>
      </w:r>
      <w:r>
        <w:rPr>
          <w:rFonts w:hint="eastAsia" w:cs="Times New Roman"/>
          <w:color w:val="auto"/>
          <w:highlight w:val="none"/>
          <w:lang w:eastAsia="zh-CN"/>
        </w:rPr>
        <w:t>妇女儿童工位委员会办公室</w:t>
      </w:r>
      <w:r>
        <w:rPr>
          <w:rFonts w:hint="default" w:ascii="Times New Roman" w:hAnsi="Times New Roman" w:cs="Times New Roman"/>
          <w:color w:val="auto"/>
          <w:highlight w:val="none"/>
        </w:rPr>
        <w:t>与其合署办公</w:t>
      </w:r>
      <w:r>
        <w:rPr>
          <w:rFonts w:hint="eastAsia" w:cs="Times New Roman"/>
          <w:color w:val="auto"/>
          <w:highlight w:val="none"/>
          <w:lang w:eastAsia="zh-CN"/>
        </w:rPr>
        <w:t>）</w:t>
      </w:r>
      <w:r>
        <w:rPr>
          <w:rFonts w:hint="default" w:ascii="Times New Roman" w:hAnsi="Times New Roman" w:cs="Times New Roman"/>
          <w:color w:val="auto"/>
          <w:highlight w:val="none"/>
        </w:rPr>
        <w:t>、组织联络部、权益宣传部、妇女发展部。</w:t>
      </w:r>
    </w:p>
    <w:p>
      <w:pPr>
        <w:rPr>
          <w:rFonts w:hint="eastAsia"/>
        </w:rPr>
      </w:pPr>
    </w:p>
    <w:p>
      <w:pPr>
        <w:widowControl/>
        <w:jc w:val="left"/>
        <w:rPr>
          <w:rFonts w:ascii="仿宋" w:hAnsi="仿宋" w:eastAsia="仿宋"/>
          <w:color w:val="000000"/>
          <w:kern w:val="0"/>
          <w:sz w:val="32"/>
          <w:szCs w:val="32"/>
        </w:rPr>
      </w:pPr>
    </w:p>
    <w:p>
      <w:pPr>
        <w:rPr>
          <w:rFonts w:hint="eastAsia" w:ascii="黑体" w:hAnsi="黑体" w:eastAsia="黑体"/>
          <w:b w:val="0"/>
          <w:color w:val="000000"/>
        </w:rPr>
      </w:pPr>
      <w:bookmarkStart w:id="5" w:name="_Toc15396602"/>
      <w:bookmarkStart w:id="6" w:name="_Toc15377204"/>
      <w:r>
        <w:rPr>
          <w:rFonts w:hint="eastAsia" w:ascii="黑体" w:hAnsi="黑体" w:eastAsia="黑体"/>
          <w:b w:val="0"/>
          <w:color w:val="000000"/>
        </w:rPr>
        <w:br w:type="page"/>
      </w:r>
    </w:p>
    <w:p>
      <w:pPr>
        <w:pStyle w:val="3"/>
        <w:ind w:right="440"/>
        <w:jc w:val="right"/>
        <w:rPr>
          <w:rStyle w:val="17"/>
          <w:rFonts w:ascii="黑体" w:hAnsi="黑体" w:eastAsia="黑体"/>
          <w:b w:val="0"/>
          <w:bCs w:val="0"/>
        </w:rPr>
      </w:pPr>
      <w:bookmarkStart w:id="7" w:name="_Toc13662"/>
      <w:r>
        <w:rPr>
          <w:rFonts w:hint="eastAsia" w:ascii="黑体" w:hAnsi="黑体" w:eastAsia="黑体"/>
          <w:b w:val="0"/>
          <w:color w:val="000000"/>
        </w:rPr>
        <w:t>第二部分</w:t>
      </w:r>
      <w:r>
        <w:rPr>
          <w:rFonts w:ascii="黑体" w:hAnsi="黑体" w:eastAsia="黑体"/>
          <w:color w:val="000000"/>
        </w:rPr>
        <w:t xml:space="preserve"> </w:t>
      </w:r>
      <w:r>
        <w:rPr>
          <w:rStyle w:val="17"/>
          <w:rFonts w:hint="eastAsia" w:ascii="黑体" w:hAnsi="黑体" w:eastAsia="黑体"/>
          <w:b w:val="0"/>
          <w:bCs w:val="0"/>
          <w:lang w:eastAsia="zh-CN"/>
        </w:rPr>
        <w:t>2023</w:t>
      </w:r>
      <w:r>
        <w:rPr>
          <w:rStyle w:val="17"/>
          <w:rFonts w:hint="eastAsia" w:ascii="黑体" w:hAnsi="黑体" w:eastAsia="黑体"/>
          <w:b w:val="0"/>
          <w:bCs w:val="0"/>
        </w:rPr>
        <w:t>年度</w:t>
      </w:r>
      <w:r>
        <w:rPr>
          <w:rStyle w:val="17"/>
          <w:rFonts w:hint="eastAsia" w:ascii="黑体" w:hAnsi="黑体" w:eastAsia="黑体"/>
          <w:b w:val="0"/>
          <w:bCs w:val="0"/>
          <w:lang w:val="en-US" w:eastAsia="zh-CN"/>
        </w:rPr>
        <w:t>单位</w:t>
      </w:r>
      <w:r>
        <w:rPr>
          <w:rStyle w:val="17"/>
          <w:rFonts w:hint="eastAsia" w:ascii="黑体" w:hAnsi="黑体" w:eastAsia="黑体"/>
          <w:b w:val="0"/>
          <w:bCs w:val="0"/>
        </w:rPr>
        <w:t>决算情况说明</w:t>
      </w:r>
      <w:bookmarkEnd w:id="5"/>
      <w:bookmarkEnd w:id="6"/>
      <w:bookmarkEnd w:id="7"/>
    </w:p>
    <w:p/>
    <w:p>
      <w:pPr>
        <w:pStyle w:val="19"/>
        <w:numPr>
          <w:ilvl w:val="0"/>
          <w:numId w:val="1"/>
        </w:numPr>
        <w:spacing w:line="600" w:lineRule="exact"/>
        <w:ind w:firstLineChars="0"/>
        <w:outlineLvl w:val="1"/>
        <w:rPr>
          <w:rStyle w:val="18"/>
          <w:rFonts w:ascii="黑体" w:hAnsi="黑体" w:eastAsia="黑体"/>
          <w:b w:val="0"/>
        </w:rPr>
      </w:pPr>
      <w:bookmarkStart w:id="8" w:name="_Toc15396603"/>
      <w:bookmarkStart w:id="9" w:name="_Toc15377205"/>
      <w:bookmarkStart w:id="10" w:name="_Toc18582"/>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8"/>
      <w:bookmarkEnd w:id="9"/>
      <w:bookmarkEnd w:id="10"/>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年度收、支总计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万元。与</w:t>
      </w:r>
      <w:r>
        <w:rPr>
          <w:rFonts w:hint="eastAsia" w:ascii="仿宋_GB2312" w:hAnsi="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cs="仿宋_GB2312"/>
          <w:color w:val="auto"/>
          <w:sz w:val="32"/>
          <w:szCs w:val="32"/>
          <w:highlight w:val="none"/>
          <w:lang w:val="en-US" w:eastAsia="zh-CN"/>
        </w:rPr>
        <w:t>6.79</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%。主要变动原因是</w:t>
      </w:r>
      <w:r>
        <w:rPr>
          <w:rFonts w:hint="eastAsia" w:ascii="仿宋_GB2312" w:hAnsi="新宋体" w:eastAsia="仿宋_GB2312"/>
          <w:sz w:val="32"/>
          <w:szCs w:val="32"/>
          <w:lang w:eastAsia="zh-CN"/>
        </w:rPr>
        <w:t>养老保险、医保、公积金等缴费增加</w:t>
      </w:r>
      <w:r>
        <w:rPr>
          <w:rFonts w:hint="eastAsia" w:ascii="仿宋_GB2312" w:hAnsi="仿宋_GB2312" w:eastAsia="仿宋_GB2312" w:cs="仿宋_GB2312"/>
          <w:color w:val="auto"/>
          <w:sz w:val="32"/>
          <w:szCs w:val="32"/>
          <w:highlight w:val="none"/>
          <w:lang w:eastAsia="zh-CN"/>
        </w:rPr>
        <w:t>。</w:t>
      </w:r>
    </w:p>
    <w:p>
      <w:pPr>
        <w:spacing w:line="600" w:lineRule="exact"/>
        <w:ind w:firstLine="6080" w:firstLineChars="1900"/>
        <w:jc w:val="left"/>
        <w:rPr>
          <w:rFonts w:hint="eastAsia" w:ascii="仿宋_GB2312" w:hAnsi="仿宋_GB2312" w:eastAsia="仿宋_GB2312" w:cs="仿宋_GB2312"/>
          <w:color w:val="auto"/>
          <w:sz w:val="32"/>
          <w:szCs w:val="32"/>
          <w:highlight w:val="none"/>
        </w:rPr>
      </w:pPr>
      <w:r>
        <w:rPr>
          <w:rFonts w:hint="eastAsia" w:ascii="仿宋_GB2312" w:hAnsi="新宋体" w:eastAsia="仿宋_GB2312" w:cs="Times New Roman"/>
          <w:kern w:val="2"/>
          <w:sz w:val="32"/>
          <w:szCs w:val="32"/>
          <w:lang w:val="en-US" w:eastAsia="zh-CN" w:bidi="ar-SA"/>
        </w:rPr>
        <w:t>单位：万元</w:t>
      </w:r>
      <w:r>
        <w:rPr>
          <w:rFonts w:hint="eastAsia"/>
          <w:lang w:val="en-US" w:eastAsia="zh-CN"/>
        </w:rPr>
        <w:t xml:space="preserve">   </w:t>
      </w:r>
    </w:p>
    <w:p>
      <w:pPr>
        <w:pStyle w:val="2"/>
        <w:jc w:val="center"/>
        <w:rPr>
          <w:rFonts w:hint="eastAsia"/>
        </w:rPr>
      </w:pPr>
      <w:r>
        <w:rPr>
          <w:rFonts w:hint="eastAsia" w:ascii="仿宋_GB2312" w:hAnsi="仿宋_GB2312" w:eastAsia="仿宋_GB2312" w:cs="仿宋_GB2312"/>
          <w:color w:val="000000"/>
          <w:sz w:val="32"/>
          <w:szCs w:val="32"/>
          <w:lang w:eastAsia="zh-CN"/>
        </w:rPr>
        <w:drawing>
          <wp:inline distT="0" distB="0" distL="0" distR="0">
            <wp:extent cx="4839970" cy="2755265"/>
            <wp:effectExtent l="0" t="0" r="17780" b="6985"/>
            <wp:docPr id="1026" name="图片 17" descr="图片1"/>
            <wp:cNvGraphicFramePr/>
            <a:graphic xmlns:a="http://schemas.openxmlformats.org/drawingml/2006/main">
              <a:graphicData uri="http://schemas.openxmlformats.org/drawingml/2006/picture">
                <pic:pic xmlns:pic="http://schemas.openxmlformats.org/drawingml/2006/picture">
                  <pic:nvPicPr>
                    <pic:cNvPr id="1026" name="图片 17" descr="图片1"/>
                    <pic:cNvPicPr/>
                  </pic:nvPicPr>
                  <pic:blipFill>
                    <a:blip r:embed="rId5" cstate="print"/>
                    <a:srcRect/>
                    <a:stretch>
                      <a:fillRect/>
                    </a:stretch>
                  </pic:blipFill>
                  <pic:spPr>
                    <a:xfrm>
                      <a:off x="0" y="0"/>
                      <a:ext cx="4839970" cy="2755265"/>
                    </a:xfrm>
                    <a:prstGeom prst="rect">
                      <a:avLst/>
                    </a:prstGeom>
                  </pic:spPr>
                </pic:pic>
              </a:graphicData>
            </a:graphic>
          </wp:inline>
        </w:drawing>
      </w:r>
    </w:p>
    <w:p>
      <w:pPr>
        <w:spacing w:line="600" w:lineRule="exact"/>
        <w:ind w:firstLine="640" w:firstLineChars="200"/>
        <w:jc w:val="center"/>
      </w:pPr>
      <w:r>
        <w:rPr>
          <w:rFonts w:hint="eastAsia" w:ascii="仿宋_GB2312" w:hAnsi="仿宋_GB2312" w:eastAsia="仿宋_GB2312" w:cs="仿宋_GB2312"/>
          <w:color w:val="auto"/>
          <w:sz w:val="32"/>
          <w:szCs w:val="32"/>
          <w:highlight w:val="none"/>
        </w:rPr>
        <w:t>（图1：收、支决算总计变动情况图）</w:t>
      </w:r>
    </w:p>
    <w:p>
      <w:pPr>
        <w:pStyle w:val="19"/>
        <w:numPr>
          <w:ilvl w:val="0"/>
          <w:numId w:val="1"/>
        </w:numPr>
        <w:spacing w:line="600" w:lineRule="exact"/>
        <w:ind w:firstLineChars="0"/>
        <w:outlineLvl w:val="1"/>
        <w:rPr>
          <w:rStyle w:val="18"/>
          <w:rFonts w:ascii="黑体" w:hAnsi="黑体" w:eastAsia="黑体"/>
          <w:b w:val="0"/>
        </w:rPr>
      </w:pPr>
      <w:bookmarkStart w:id="11" w:name="_Toc15377206"/>
      <w:bookmarkStart w:id="12" w:name="_Toc9811"/>
      <w:bookmarkStart w:id="13" w:name="_Toc15396604"/>
      <w:bookmarkStart w:id="14" w:name="_Toc804272208"/>
      <w:r>
        <w:rPr>
          <w:rFonts w:hint="eastAsia" w:ascii="黑体" w:hAnsi="黑体" w:eastAsia="黑体"/>
          <w:color w:val="000000"/>
          <w:sz w:val="32"/>
          <w:szCs w:val="32"/>
        </w:rPr>
        <w:t>收</w:t>
      </w:r>
      <w:r>
        <w:rPr>
          <w:rStyle w:val="18"/>
          <w:rFonts w:hint="eastAsia" w:ascii="黑体" w:hAnsi="黑体" w:eastAsia="黑体"/>
          <w:b w:val="0"/>
        </w:rPr>
        <w:t>入决算情况说明</w:t>
      </w:r>
      <w:bookmarkEnd w:id="11"/>
      <w:bookmarkEnd w:id="12"/>
      <w:bookmarkEnd w:id="13"/>
      <w:bookmarkEnd w:id="14"/>
    </w:p>
    <w:p>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spacing w:line="600" w:lineRule="exact"/>
        <w:ind w:firstLine="640" w:firstLineChars="200"/>
        <w:outlineLvl w:val="1"/>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p>
    <w:p>
      <w:pPr>
        <w:pStyle w:val="2"/>
        <w:ind w:firstLine="5760" w:firstLineChars="1800"/>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单位：万元</w:t>
      </w:r>
    </w:p>
    <w:p>
      <w:pPr>
        <w:jc w:val="center"/>
      </w:pPr>
      <w:r>
        <w:rPr>
          <w:rFonts w:hint="eastAsia" w:ascii="仿宋_GB2312" w:hAnsi="仿宋_GB2312" w:eastAsia="仿宋_GB2312" w:cs="仿宋_GB2312"/>
          <w:color w:val="000000"/>
          <w:sz w:val="32"/>
          <w:szCs w:val="32"/>
          <w:lang w:eastAsia="zh-CN"/>
        </w:rPr>
        <w:drawing>
          <wp:inline distT="0" distB="0" distL="0" distR="0">
            <wp:extent cx="4565650" cy="2907665"/>
            <wp:effectExtent l="0" t="0" r="6350" b="6985"/>
            <wp:docPr id="1027" name="图片 8" descr="图片2"/>
            <wp:cNvGraphicFramePr/>
            <a:graphic xmlns:a="http://schemas.openxmlformats.org/drawingml/2006/main">
              <a:graphicData uri="http://schemas.openxmlformats.org/drawingml/2006/picture">
                <pic:pic xmlns:pic="http://schemas.openxmlformats.org/drawingml/2006/picture">
                  <pic:nvPicPr>
                    <pic:cNvPr id="1027" name="图片 8" descr="图片2"/>
                    <pic:cNvPicPr/>
                  </pic:nvPicPr>
                  <pic:blipFill>
                    <a:blip r:embed="rId6" cstate="print"/>
                    <a:srcRect/>
                    <a:stretch>
                      <a:fillRect/>
                    </a:stretch>
                  </pic:blipFill>
                  <pic:spPr>
                    <a:xfrm>
                      <a:off x="0" y="0"/>
                      <a:ext cx="4565650" cy="2907665"/>
                    </a:xfrm>
                    <a:prstGeom prst="rect">
                      <a:avLst/>
                    </a:prstGeom>
                  </pic:spPr>
                </pic:pic>
              </a:graphicData>
            </a:graphic>
          </wp:inline>
        </w:drawing>
      </w:r>
    </w:p>
    <w:p>
      <w:pPr>
        <w:spacing w:line="600" w:lineRule="exact"/>
        <w:ind w:firstLine="640" w:firstLineChars="200"/>
        <w:jc w:val="center"/>
        <w:rPr>
          <w:rFonts w:ascii="仿宋_GB2312" w:eastAsia="仿宋_GB2312"/>
          <w:color w:val="FF0000"/>
          <w:sz w:val="32"/>
          <w:szCs w:val="32"/>
        </w:rPr>
      </w:pPr>
      <w:r>
        <w:rPr>
          <w:rFonts w:hint="eastAsia" w:ascii="仿宋_GB2312" w:hAnsi="仿宋_GB2312" w:eastAsia="仿宋_GB2312" w:cs="仿宋_GB2312"/>
          <w:color w:val="000000"/>
          <w:sz w:val="32"/>
          <w:szCs w:val="32"/>
        </w:rPr>
        <w:t>（图2：收入决算结构图）</w:t>
      </w:r>
    </w:p>
    <w:p>
      <w:pPr>
        <w:pStyle w:val="19"/>
        <w:numPr>
          <w:ilvl w:val="0"/>
          <w:numId w:val="1"/>
        </w:numPr>
        <w:spacing w:line="600" w:lineRule="exact"/>
        <w:ind w:firstLineChars="0"/>
        <w:outlineLvl w:val="1"/>
        <w:rPr>
          <w:rStyle w:val="18"/>
          <w:rFonts w:ascii="黑体" w:hAnsi="黑体" w:eastAsia="黑体"/>
          <w:b w:val="0"/>
        </w:rPr>
      </w:pPr>
      <w:bookmarkStart w:id="15" w:name="_Toc17567"/>
      <w:bookmarkStart w:id="16" w:name="_Toc15396605"/>
      <w:bookmarkStart w:id="17" w:name="_Toc609704471"/>
      <w:bookmarkStart w:id="18" w:name="_Toc15377207"/>
      <w:r>
        <w:rPr>
          <w:rFonts w:hint="eastAsia" w:ascii="黑体" w:hAnsi="黑体" w:eastAsia="黑体"/>
          <w:color w:val="000000"/>
          <w:sz w:val="32"/>
          <w:szCs w:val="32"/>
        </w:rPr>
        <w:t>支</w:t>
      </w:r>
      <w:r>
        <w:rPr>
          <w:rStyle w:val="18"/>
          <w:rFonts w:hint="eastAsia" w:ascii="黑体" w:hAnsi="黑体" w:eastAsia="黑体"/>
          <w:b w:val="0"/>
        </w:rPr>
        <w:t>出决算情况说明</w:t>
      </w:r>
      <w:bookmarkEnd w:id="15"/>
      <w:bookmarkEnd w:id="16"/>
      <w:bookmarkEnd w:id="17"/>
      <w:bookmarkEnd w:id="18"/>
    </w:p>
    <w:p>
      <w:pPr>
        <w:spacing w:line="600" w:lineRule="exact"/>
        <w:ind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cs="仿宋_GB2312"/>
          <w:color w:val="auto"/>
          <w:sz w:val="32"/>
          <w:szCs w:val="32"/>
          <w:highlight w:val="none"/>
          <w:lang w:val="en-US" w:eastAsia="zh-CN"/>
        </w:rPr>
        <w:t>364.68</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69.39</w:t>
      </w:r>
      <w:r>
        <w:rPr>
          <w:rFonts w:hint="eastAsia" w:ascii="仿宋_GB2312" w:hAnsi="仿宋_GB2312" w:eastAsia="仿宋_GB2312" w:cs="仿宋_GB2312"/>
          <w:color w:val="auto"/>
          <w:sz w:val="32"/>
          <w:szCs w:val="32"/>
          <w:highlight w:val="none"/>
        </w:rPr>
        <w:t>%；项目支出</w:t>
      </w:r>
      <w:r>
        <w:rPr>
          <w:rFonts w:hint="eastAsia" w:ascii="仿宋_GB2312" w:hAnsi="仿宋_GB2312" w:cs="仿宋_GB2312"/>
          <w:color w:val="auto"/>
          <w:sz w:val="32"/>
          <w:szCs w:val="32"/>
          <w:highlight w:val="none"/>
          <w:lang w:val="en-US" w:eastAsia="zh-CN"/>
        </w:rPr>
        <w:t>160.87</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30.61</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080" w:firstLineChars="1900"/>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单位：万元</w:t>
      </w:r>
    </w:p>
    <w:p>
      <w:pPr>
        <w:pStyle w:val="2"/>
        <w:jc w:val="center"/>
        <w:rPr>
          <w:rFonts w:hint="eastAsia"/>
        </w:rPr>
      </w:pPr>
      <w:r>
        <w:rPr>
          <w:rFonts w:hint="eastAsia" w:ascii="仿宋_GB2312" w:hAnsi="仿宋_GB2312" w:eastAsia="仿宋_GB2312" w:cs="仿宋_GB2312"/>
          <w:color w:val="000000"/>
          <w:sz w:val="32"/>
          <w:szCs w:val="32"/>
          <w:lang w:eastAsia="zh-CN"/>
        </w:rPr>
        <w:drawing>
          <wp:inline distT="0" distB="0" distL="0" distR="0">
            <wp:extent cx="4773295" cy="2546350"/>
            <wp:effectExtent l="0" t="0" r="8255" b="6350"/>
            <wp:docPr id="1028" name="图片 5" descr="图片3"/>
            <wp:cNvGraphicFramePr/>
            <a:graphic xmlns:a="http://schemas.openxmlformats.org/drawingml/2006/main">
              <a:graphicData uri="http://schemas.openxmlformats.org/drawingml/2006/picture">
                <pic:pic xmlns:pic="http://schemas.openxmlformats.org/drawingml/2006/picture">
                  <pic:nvPicPr>
                    <pic:cNvPr id="1028" name="图片 5" descr="图片3"/>
                    <pic:cNvPicPr/>
                  </pic:nvPicPr>
                  <pic:blipFill>
                    <a:blip r:embed="rId7" cstate="print"/>
                    <a:srcRect/>
                    <a:stretch>
                      <a:fillRect/>
                    </a:stretch>
                  </pic:blipFill>
                  <pic:spPr>
                    <a:xfrm>
                      <a:off x="0" y="0"/>
                      <a:ext cx="4773295" cy="2546350"/>
                    </a:xfrm>
                    <a:prstGeom prst="rect">
                      <a:avLst/>
                    </a:prstGeom>
                  </pic:spPr>
                </pic:pic>
              </a:graphicData>
            </a:graphic>
          </wp:inline>
        </w:drawing>
      </w:r>
    </w:p>
    <w:p>
      <w:pPr>
        <w:spacing w:line="600" w:lineRule="exact"/>
        <w:ind w:firstLine="640" w:firstLineChars="200"/>
        <w:jc w:val="center"/>
        <w:rPr>
          <w:rFonts w:ascii="仿宋_GB2312" w:eastAsia="仿宋_GB2312"/>
          <w:color w:val="FF0000"/>
          <w:sz w:val="32"/>
          <w:szCs w:val="32"/>
        </w:rPr>
      </w:pPr>
      <w:r>
        <w:rPr>
          <w:rFonts w:hint="eastAsia" w:ascii="仿宋_GB2312" w:hAnsi="仿宋_GB2312" w:eastAsia="仿宋_GB2312" w:cs="仿宋_GB2312"/>
          <w:color w:val="000000"/>
          <w:sz w:val="32"/>
          <w:szCs w:val="32"/>
        </w:rPr>
        <w:t>（图3：支出决算结构图）</w:t>
      </w:r>
    </w:p>
    <w:p>
      <w:pPr>
        <w:spacing w:line="600" w:lineRule="exact"/>
        <w:ind w:firstLine="640" w:firstLineChars="200"/>
        <w:outlineLvl w:val="1"/>
        <w:rPr>
          <w:rStyle w:val="18"/>
          <w:rFonts w:ascii="黑体" w:hAnsi="黑体" w:eastAsia="黑体"/>
          <w:b w:val="0"/>
        </w:rPr>
      </w:pPr>
      <w:bookmarkStart w:id="19" w:name="_Toc15377208"/>
      <w:bookmarkStart w:id="20" w:name="_Toc2589"/>
      <w:bookmarkStart w:id="21" w:name="_Toc1887585605"/>
      <w:bookmarkStart w:id="22" w:name="_Toc15396606"/>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19"/>
      <w:bookmarkEnd w:id="20"/>
      <w:bookmarkEnd w:id="21"/>
      <w:bookmarkEnd w:id="22"/>
    </w:p>
    <w:p>
      <w:pPr>
        <w:spacing w:line="600" w:lineRule="exact"/>
        <w:ind w:firstLine="640" w:firstLineChars="200"/>
        <w:rPr>
          <w:rFonts w:ascii="仿宋" w:hAnsi="仿宋" w:eastAsia="仿宋"/>
          <w:color w:val="auto"/>
          <w:sz w:val="32"/>
          <w:szCs w:val="32"/>
          <w:highlight w:val="none"/>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万元。与</w:t>
      </w:r>
      <w:r>
        <w:rPr>
          <w:rFonts w:hint="eastAsia" w:ascii="仿宋_GB2312" w:hAnsi="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cs="仿宋_GB2312"/>
          <w:color w:val="auto"/>
          <w:sz w:val="32"/>
          <w:szCs w:val="32"/>
          <w:highlight w:val="none"/>
          <w:lang w:val="en-US" w:eastAsia="zh-CN"/>
        </w:rPr>
        <w:t>6.79</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b w:val="0"/>
          <w:bCs w:val="0"/>
          <w:color w:val="auto"/>
          <w:sz w:val="32"/>
          <w:szCs w:val="32"/>
          <w:highlight w:val="none"/>
          <w:lang w:val="en-US" w:eastAsia="zh-CN"/>
        </w:rPr>
        <w:t>023年机关事业单位基本养老保险缴费支出调整增加及机关退休人员死亡新增死亡抚恤金</w:t>
      </w:r>
      <w:r>
        <w:rPr>
          <w:rFonts w:hint="eastAsia" w:ascii="仿宋_GB2312" w:hAnsi="仿宋_GB2312" w:eastAsia="仿宋_GB2312" w:cs="仿宋_GB2312"/>
          <w:color w:val="auto"/>
          <w:sz w:val="32"/>
          <w:szCs w:val="32"/>
          <w:highlight w:val="none"/>
          <w:lang w:eastAsia="zh-CN"/>
        </w:rPr>
        <w:t>。</w:t>
      </w:r>
    </w:p>
    <w:p>
      <w:pPr>
        <w:spacing w:line="600" w:lineRule="exact"/>
        <w:ind w:firstLine="6080" w:firstLineChars="19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单位：万元</w:t>
      </w:r>
    </w:p>
    <w:p>
      <w:pPr>
        <w:pStyle w:val="2"/>
        <w:jc w:val="center"/>
      </w:pPr>
      <w:r>
        <w:rPr>
          <w:rFonts w:hint="eastAsia" w:eastAsia="仿宋_GB2312"/>
          <w:lang w:eastAsia="zh-CN"/>
        </w:rPr>
        <w:drawing>
          <wp:inline distT="0" distB="0" distL="0" distR="0">
            <wp:extent cx="4839970" cy="2755265"/>
            <wp:effectExtent l="0" t="0" r="17780" b="6985"/>
            <wp:docPr id="1029" name="图片 14" descr="图片4"/>
            <wp:cNvGraphicFramePr/>
            <a:graphic xmlns:a="http://schemas.openxmlformats.org/drawingml/2006/main">
              <a:graphicData uri="http://schemas.openxmlformats.org/drawingml/2006/picture">
                <pic:pic xmlns:pic="http://schemas.openxmlformats.org/drawingml/2006/picture">
                  <pic:nvPicPr>
                    <pic:cNvPr id="1029" name="图片 14" descr="图片4"/>
                    <pic:cNvPicPr/>
                  </pic:nvPicPr>
                  <pic:blipFill>
                    <a:blip r:embed="rId8" cstate="print"/>
                    <a:srcRect/>
                    <a:stretch>
                      <a:fillRect/>
                    </a:stretch>
                  </pic:blipFill>
                  <pic:spPr>
                    <a:xfrm>
                      <a:off x="0" y="0"/>
                      <a:ext cx="4839970" cy="2755265"/>
                    </a:xfrm>
                    <a:prstGeom prst="rect">
                      <a:avLst/>
                    </a:prstGeom>
                  </pic:spPr>
                </pic:pic>
              </a:graphicData>
            </a:graphic>
          </wp:inline>
        </w:drawing>
      </w:r>
    </w:p>
    <w:p>
      <w:pPr>
        <w:spacing w:line="600" w:lineRule="exact"/>
        <w:jc w:val="center"/>
        <w:rPr>
          <w:rFonts w:ascii="仿宋" w:hAnsi="仿宋" w:eastAsia="仿宋"/>
          <w:b/>
          <w:color w:val="00B050"/>
          <w:sz w:val="32"/>
          <w:szCs w:val="32"/>
        </w:rPr>
      </w:pPr>
      <w:r>
        <w:rPr>
          <w:rFonts w:hint="eastAsia" w:ascii="仿宋_GB2312" w:hAnsi="仿宋_GB2312" w:eastAsia="仿宋_GB2312" w:cs="仿宋_GB2312"/>
          <w:color w:val="000000"/>
          <w:sz w:val="32"/>
          <w:szCs w:val="32"/>
        </w:rPr>
        <w:t>（图4：财政拨款收、支决算总计变动情况）</w:t>
      </w:r>
    </w:p>
    <w:p>
      <w:pPr>
        <w:spacing w:line="600" w:lineRule="exact"/>
        <w:ind w:firstLine="640" w:firstLineChars="200"/>
        <w:outlineLvl w:val="1"/>
        <w:rPr>
          <w:rStyle w:val="18"/>
          <w:rFonts w:ascii="黑体" w:hAnsi="黑体" w:eastAsia="黑体"/>
          <w:b w:val="0"/>
        </w:rPr>
      </w:pPr>
      <w:bookmarkStart w:id="23" w:name="_Toc15396607"/>
      <w:bookmarkStart w:id="24" w:name="_Toc15377209"/>
      <w:bookmarkStart w:id="25" w:name="_Toc883410705"/>
      <w:bookmarkStart w:id="26" w:name="_Toc17328"/>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23"/>
      <w:bookmarkEnd w:id="24"/>
      <w:bookmarkEnd w:id="25"/>
      <w:bookmarkEnd w:id="26"/>
    </w:p>
    <w:p>
      <w:pPr>
        <w:spacing w:line="600" w:lineRule="exact"/>
        <w:ind w:firstLine="642" w:firstLineChars="200"/>
        <w:outlineLvl w:val="2"/>
        <w:rPr>
          <w:rFonts w:ascii="仿宋" w:hAnsi="仿宋" w:eastAsia="仿宋"/>
          <w:b/>
          <w:color w:val="000000"/>
          <w:sz w:val="32"/>
          <w:szCs w:val="32"/>
        </w:rPr>
      </w:pPr>
      <w:bookmarkStart w:id="27" w:name="_Toc15377210"/>
      <w:r>
        <w:rPr>
          <w:rFonts w:hint="eastAsia" w:ascii="仿宋" w:hAnsi="仿宋" w:eastAsia="仿宋"/>
          <w:b/>
          <w:color w:val="000000"/>
          <w:sz w:val="32"/>
          <w:szCs w:val="32"/>
        </w:rPr>
        <w:t>（一）一般公共预算财政拨款支出决算总体情况</w:t>
      </w:r>
      <w:bookmarkEnd w:id="27"/>
    </w:p>
    <w:p>
      <w:pPr>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w:t>
      </w:r>
      <w:r>
        <w:rPr>
          <w:rFonts w:hint="eastAsia" w:ascii="仿宋_GB2312" w:hAnsi="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cs="仿宋_GB2312"/>
          <w:color w:val="auto"/>
          <w:sz w:val="32"/>
          <w:szCs w:val="32"/>
          <w:highlight w:val="none"/>
          <w:lang w:val="en-US" w:eastAsia="zh-CN"/>
        </w:rPr>
        <w:t>6.79</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cs="仿宋_GB2312"/>
          <w:b w:val="0"/>
          <w:bCs w:val="0"/>
          <w:color w:val="auto"/>
          <w:sz w:val="32"/>
          <w:szCs w:val="32"/>
          <w:highlight w:val="none"/>
          <w:lang w:val="en-US" w:eastAsia="zh-CN"/>
        </w:rPr>
        <w:t>2023年机关事业单位基本养老保险缴费支出调整增加及机关退休人员死亡新增死亡抚恤金</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sz w:val="32"/>
          <w:szCs w:val="32"/>
          <w:highlight w:val="none"/>
        </w:rPr>
      </w:pPr>
    </w:p>
    <w:p>
      <w:pPr>
        <w:tabs>
          <w:tab w:val="left" w:pos="2691"/>
        </w:tabs>
        <w:spacing w:line="600" w:lineRule="exact"/>
        <w:ind w:firstLine="640" w:firstLineChars="200"/>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eastAsia="zh-CN"/>
        </w:rPr>
        <w:tab/>
      </w:r>
      <w:r>
        <w:rPr>
          <w:rFonts w:hint="eastAsia" w:ascii="仿宋_GB2312" w:hAnsi="仿宋_GB2312" w:cs="仿宋_GB2312"/>
          <w:color w:val="000000"/>
          <w:sz w:val="32"/>
          <w:szCs w:val="32"/>
          <w:lang w:val="en-US" w:eastAsia="zh-CN"/>
        </w:rPr>
        <w:t xml:space="preserve">                       单位：万元</w:t>
      </w:r>
    </w:p>
    <w:p>
      <w:pPr>
        <w:pStyle w:val="2"/>
        <w:jc w:val="center"/>
        <w:rPr>
          <w:rFonts w:hint="eastAsia"/>
          <w:lang w:eastAsia="zh-CN"/>
        </w:rPr>
      </w:pPr>
      <w:r>
        <w:rPr>
          <w:rFonts w:hint="eastAsia" w:ascii="仿宋" w:hAnsi="仿宋" w:eastAsia="仿宋"/>
          <w:b/>
          <w:color w:val="FF0000"/>
          <w:sz w:val="32"/>
          <w:szCs w:val="32"/>
          <w:lang w:eastAsia="zh-CN"/>
        </w:rPr>
        <w:drawing>
          <wp:inline distT="0" distB="0" distL="0" distR="0">
            <wp:extent cx="4839970" cy="2755265"/>
            <wp:effectExtent l="0" t="0" r="17780" b="6985"/>
            <wp:docPr id="1030" name="图片 18" descr="图片5"/>
            <wp:cNvGraphicFramePr/>
            <a:graphic xmlns:a="http://schemas.openxmlformats.org/drawingml/2006/main">
              <a:graphicData uri="http://schemas.openxmlformats.org/drawingml/2006/picture">
                <pic:pic xmlns:pic="http://schemas.openxmlformats.org/drawingml/2006/picture">
                  <pic:nvPicPr>
                    <pic:cNvPr id="1030" name="图片 18" descr="图片5"/>
                    <pic:cNvPicPr/>
                  </pic:nvPicPr>
                  <pic:blipFill>
                    <a:blip r:embed="rId9" cstate="print"/>
                    <a:srcRect/>
                    <a:stretch>
                      <a:fillRect/>
                    </a:stretch>
                  </pic:blipFill>
                  <pic:spPr>
                    <a:xfrm>
                      <a:off x="0" y="0"/>
                      <a:ext cx="4839970" cy="2755265"/>
                    </a:xfrm>
                    <a:prstGeom prst="rect">
                      <a:avLst/>
                    </a:prstGeom>
                  </pic:spPr>
                </pic:pic>
              </a:graphicData>
            </a:graphic>
          </wp:inline>
        </w:drawing>
      </w:r>
    </w:p>
    <w:p>
      <w:pPr>
        <w:spacing w:line="600" w:lineRule="exact"/>
        <w:jc w:val="center"/>
        <w:rPr>
          <w:rFonts w:ascii="仿宋" w:hAnsi="仿宋" w:eastAsia="仿宋"/>
          <w:color w:val="000000"/>
          <w:sz w:val="32"/>
          <w:szCs w:val="32"/>
        </w:rPr>
      </w:pPr>
      <w:r>
        <w:rPr>
          <w:rFonts w:hint="eastAsia" w:ascii="仿宋_GB2312" w:hAnsi="仿宋_GB2312" w:eastAsia="仿宋_GB2312" w:cs="仿宋_GB2312"/>
          <w:color w:val="000000"/>
          <w:sz w:val="32"/>
          <w:szCs w:val="32"/>
        </w:rPr>
        <w:t>（图5：一般公共预算财政拨款支出决算变动情况）</w:t>
      </w:r>
    </w:p>
    <w:p>
      <w:pPr>
        <w:spacing w:line="600" w:lineRule="exact"/>
        <w:ind w:firstLine="642" w:firstLineChars="200"/>
        <w:outlineLvl w:val="2"/>
        <w:rPr>
          <w:rFonts w:ascii="仿宋" w:hAnsi="仿宋" w:eastAsia="仿宋"/>
          <w:b/>
          <w:color w:val="000000"/>
          <w:sz w:val="32"/>
          <w:szCs w:val="32"/>
        </w:rPr>
      </w:pPr>
      <w:bookmarkStart w:id="28" w:name="_Toc15377211"/>
      <w:r>
        <w:rPr>
          <w:rFonts w:hint="eastAsia" w:ascii="仿宋" w:hAnsi="仿宋" w:eastAsia="仿宋"/>
          <w:b/>
          <w:color w:val="000000"/>
          <w:sz w:val="32"/>
          <w:szCs w:val="32"/>
        </w:rPr>
        <w:t>（二）一般公共预算财政拨款支出决算结构情况</w:t>
      </w:r>
      <w:bookmarkEnd w:id="28"/>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cs="仿宋_GB2312"/>
          <w:color w:val="auto"/>
          <w:sz w:val="32"/>
          <w:szCs w:val="32"/>
          <w:highlight w:val="none"/>
          <w:lang w:val="en-US" w:eastAsia="zh-CN"/>
        </w:rPr>
        <w:t>358.73</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68.26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cs="仿宋_GB2312"/>
          <w:color w:val="auto"/>
          <w:sz w:val="32"/>
          <w:szCs w:val="32"/>
          <w:highlight w:val="none"/>
          <w:lang w:val="en-US" w:eastAsia="zh-CN"/>
        </w:rPr>
        <w:t>130.03</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24.74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cs="仿宋_GB2312"/>
          <w:color w:val="auto"/>
          <w:sz w:val="32"/>
          <w:szCs w:val="32"/>
          <w:highlight w:val="none"/>
          <w:lang w:val="en-US" w:eastAsia="zh-CN"/>
        </w:rPr>
        <w:t>19.14</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3.64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cs="仿宋_GB2312"/>
          <w:color w:val="auto"/>
          <w:sz w:val="32"/>
          <w:szCs w:val="32"/>
          <w:highlight w:val="none"/>
          <w:lang w:val="en-US" w:eastAsia="zh-CN"/>
        </w:rPr>
        <w:t>17.65</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3.36</w:t>
      </w:r>
      <w:r>
        <w:rPr>
          <w:rFonts w:hint="eastAsia" w:ascii="仿宋_GB2312" w:hAnsi="仿宋_GB2312" w:eastAsia="仿宋_GB2312" w:cs="仿宋_GB2312"/>
          <w:color w:val="auto"/>
          <w:sz w:val="32"/>
          <w:szCs w:val="32"/>
          <w:highlight w:val="none"/>
        </w:rPr>
        <w:t>%。</w:t>
      </w:r>
    </w:p>
    <w:p>
      <w:pPr>
        <w:pStyle w:val="2"/>
        <w:ind w:firstLine="5760" w:firstLineChars="18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单位：万元</w:t>
      </w:r>
    </w:p>
    <w:p>
      <w:pPr>
        <w:jc w:val="center"/>
      </w:pPr>
      <w:r>
        <w:rPr>
          <w:rFonts w:hint="eastAsia" w:ascii="仿宋" w:hAnsi="仿宋" w:eastAsia="仿宋"/>
          <w:color w:val="000000"/>
          <w:sz w:val="32"/>
          <w:szCs w:val="32"/>
          <w:lang w:eastAsia="zh-CN"/>
        </w:rPr>
        <w:drawing>
          <wp:inline distT="0" distB="0" distL="0" distR="0">
            <wp:extent cx="4298315" cy="2255520"/>
            <wp:effectExtent l="0" t="0" r="6985" b="11430"/>
            <wp:docPr id="1031" name="图片 19" descr="图片6"/>
            <wp:cNvGraphicFramePr/>
            <a:graphic xmlns:a="http://schemas.openxmlformats.org/drawingml/2006/main">
              <a:graphicData uri="http://schemas.openxmlformats.org/drawingml/2006/picture">
                <pic:pic xmlns:pic="http://schemas.openxmlformats.org/drawingml/2006/picture">
                  <pic:nvPicPr>
                    <pic:cNvPr id="1031" name="图片 19" descr="图片6"/>
                    <pic:cNvPicPr/>
                  </pic:nvPicPr>
                  <pic:blipFill>
                    <a:blip r:embed="rId10" cstate="print"/>
                    <a:srcRect/>
                    <a:stretch>
                      <a:fillRect/>
                    </a:stretch>
                  </pic:blipFill>
                  <pic:spPr>
                    <a:xfrm>
                      <a:off x="0" y="0"/>
                      <a:ext cx="4298315" cy="2255520"/>
                    </a:xfrm>
                    <a:prstGeom prst="rect">
                      <a:avLst/>
                    </a:prstGeom>
                  </pic:spPr>
                </pic:pic>
              </a:graphicData>
            </a:graphic>
          </wp:inline>
        </w:drawing>
      </w:r>
    </w:p>
    <w:p>
      <w:pPr>
        <w:spacing w:line="600" w:lineRule="exact"/>
        <w:jc w:val="center"/>
        <w:rPr>
          <w:rFonts w:ascii="仿宋" w:hAnsi="仿宋" w:eastAsia="仿宋"/>
          <w:color w:val="000000"/>
          <w:sz w:val="32"/>
          <w:szCs w:val="32"/>
        </w:rPr>
      </w:pPr>
      <w:r>
        <w:rPr>
          <w:rFonts w:hint="eastAsia" w:ascii="仿宋_GB2312" w:hAnsi="仿宋_GB2312" w:eastAsia="仿宋_GB2312" w:cs="仿宋_GB2312"/>
          <w:color w:val="000000"/>
          <w:sz w:val="32"/>
          <w:szCs w:val="32"/>
        </w:rPr>
        <w:t>（图6：一般公共预算财政拨款支出决算结构）</w:t>
      </w:r>
    </w:p>
    <w:p>
      <w:pPr>
        <w:spacing w:line="600" w:lineRule="exact"/>
        <w:ind w:firstLine="642" w:firstLineChars="200"/>
        <w:outlineLvl w:val="2"/>
        <w:rPr>
          <w:rFonts w:ascii="仿宋" w:hAnsi="仿宋" w:eastAsia="仿宋"/>
          <w:b/>
          <w:color w:val="000000"/>
          <w:sz w:val="32"/>
          <w:szCs w:val="32"/>
        </w:rPr>
      </w:pPr>
      <w:bookmarkStart w:id="29" w:name="_Toc15377212"/>
      <w:r>
        <w:rPr>
          <w:rFonts w:hint="eastAsia" w:ascii="仿宋" w:hAnsi="仿宋" w:eastAsia="仿宋"/>
          <w:b/>
          <w:color w:val="000000"/>
          <w:sz w:val="32"/>
          <w:szCs w:val="32"/>
        </w:rPr>
        <w:t>（三）一般公共预算财政拨款支出决算具体情况</w:t>
      </w:r>
      <w:bookmarkEnd w:id="29"/>
    </w:p>
    <w:p>
      <w:pPr>
        <w:spacing w:line="600" w:lineRule="exact"/>
        <w:ind w:firstLine="642" w:firstLineChars="200"/>
        <w:outlineLvl w:val="2"/>
        <w:rPr>
          <w:rFonts w:hint="eastAsia" w:ascii="仿宋_GB2312" w:hAnsi="仿宋_GB2312" w:eastAsia="仿宋_GB2312" w:cs="仿宋_GB2312"/>
          <w:color w:val="auto"/>
          <w:sz w:val="32"/>
          <w:szCs w:val="32"/>
          <w:highlight w:val="none"/>
        </w:rPr>
      </w:pPr>
      <w:bookmarkStart w:id="30" w:name="_Toc15378460"/>
      <w:bookmarkStart w:id="31" w:name="_Toc15377444"/>
      <w:bookmarkStart w:id="32" w:name="_Toc15377213"/>
      <w:r>
        <w:rPr>
          <w:rFonts w:hint="eastAsia" w:ascii="仿宋_GB2312" w:hAnsi="仿宋_GB2312" w:cs="仿宋_GB2312"/>
          <w:b/>
          <w:color w:val="auto"/>
          <w:sz w:val="32"/>
          <w:szCs w:val="32"/>
          <w:highlight w:val="none"/>
          <w:lang w:eastAsia="zh-CN"/>
        </w:rPr>
        <w:t>2023</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cs="仿宋_GB2312"/>
          <w:b/>
          <w:color w:val="auto"/>
          <w:sz w:val="32"/>
          <w:szCs w:val="32"/>
          <w:highlight w:val="none"/>
          <w:lang w:val="en-US" w:eastAsia="zh-CN"/>
        </w:rPr>
        <w:t>525.55万元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cs="仿宋_GB2312"/>
          <w:bCs/>
          <w:color w:val="auto"/>
          <w:sz w:val="32"/>
          <w:szCs w:val="32"/>
          <w:highlight w:val="none"/>
          <w:lang w:val="en-US" w:eastAsia="zh-CN"/>
        </w:rPr>
        <w:t>100</w:t>
      </w:r>
      <w:r>
        <w:rPr>
          <w:rStyle w:val="15"/>
          <w:rFonts w:hint="eastAsia" w:ascii="仿宋_GB2312" w:hAnsi="仿宋_GB2312" w:eastAsia="仿宋_GB2312" w:cs="仿宋_GB2312"/>
          <w:bCs/>
          <w:color w:val="auto"/>
          <w:sz w:val="32"/>
          <w:szCs w:val="32"/>
          <w:highlight w:val="none"/>
        </w:rPr>
        <w:t>%。其中：</w:t>
      </w:r>
      <w:bookmarkEnd w:id="30"/>
      <w:bookmarkEnd w:id="31"/>
      <w:bookmarkEnd w:id="32"/>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1.一般公共服务（类）</w:t>
      </w:r>
      <w:r>
        <w:rPr>
          <w:rStyle w:val="15"/>
          <w:rFonts w:hint="eastAsia" w:ascii="仿宋_GB2312" w:hAnsi="仿宋_GB2312" w:cs="仿宋_GB2312"/>
          <w:bCs/>
          <w:color w:val="auto"/>
          <w:sz w:val="32"/>
          <w:szCs w:val="32"/>
          <w:highlight w:val="none"/>
          <w:lang w:eastAsia="zh-CN"/>
        </w:rPr>
        <w:t>群众团体事务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行政运行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199.86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2.一般公共服务（类）</w:t>
      </w:r>
      <w:r>
        <w:rPr>
          <w:rStyle w:val="15"/>
          <w:rFonts w:hint="eastAsia" w:ascii="仿宋_GB2312" w:hAnsi="仿宋_GB2312" w:cs="仿宋_GB2312"/>
          <w:bCs/>
          <w:color w:val="auto"/>
          <w:sz w:val="32"/>
          <w:szCs w:val="32"/>
          <w:highlight w:val="none"/>
          <w:lang w:eastAsia="zh-CN"/>
        </w:rPr>
        <w:t>群众团体事务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一般行政管理事务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125.87</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3.一般公共服务（类）</w:t>
      </w:r>
      <w:r>
        <w:rPr>
          <w:rStyle w:val="15"/>
          <w:rFonts w:hint="eastAsia" w:ascii="仿宋_GB2312" w:hAnsi="仿宋_GB2312" w:cs="仿宋_GB2312"/>
          <w:bCs/>
          <w:color w:val="auto"/>
          <w:sz w:val="32"/>
          <w:szCs w:val="32"/>
          <w:highlight w:val="none"/>
          <w:lang w:eastAsia="zh-CN"/>
        </w:rPr>
        <w:t>群众团体事务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其他群众团体事务支出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33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4.社会保障和就业（类）</w:t>
      </w:r>
      <w:r>
        <w:rPr>
          <w:rStyle w:val="15"/>
          <w:rFonts w:hint="eastAsia" w:ascii="仿宋_GB2312" w:hAnsi="仿宋_GB2312" w:cs="仿宋_GB2312"/>
          <w:bCs/>
          <w:color w:val="auto"/>
          <w:sz w:val="32"/>
          <w:szCs w:val="32"/>
          <w:highlight w:val="none"/>
          <w:lang w:eastAsia="zh-CN"/>
        </w:rPr>
        <w:t>行政事业单位养老支出</w:t>
      </w:r>
      <w:r>
        <w:rPr>
          <w:rStyle w:val="15"/>
          <w:rFonts w:hint="eastAsia" w:ascii="仿宋_GB2312" w:hAnsi="仿宋_GB2312" w:eastAsia="仿宋_GB2312" w:cs="仿宋_GB2312"/>
          <w:bCs/>
          <w:color w:val="auto"/>
          <w:sz w:val="32"/>
          <w:szCs w:val="32"/>
          <w:highlight w:val="none"/>
        </w:rPr>
        <w:t>（款）行政单位离退休（项）: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74.12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rPr>
        <w:t>5.社会保障和就业（类）</w:t>
      </w:r>
      <w:r>
        <w:rPr>
          <w:rStyle w:val="15"/>
          <w:rFonts w:hint="eastAsia" w:ascii="仿宋_GB2312" w:hAnsi="仿宋_GB2312" w:cs="仿宋_GB2312"/>
          <w:bCs/>
          <w:color w:val="auto"/>
          <w:sz w:val="32"/>
          <w:szCs w:val="32"/>
          <w:highlight w:val="none"/>
          <w:lang w:eastAsia="zh-CN"/>
        </w:rPr>
        <w:t>行政事业单位养老支出</w:t>
      </w:r>
      <w:r>
        <w:rPr>
          <w:rStyle w:val="15"/>
          <w:rFonts w:hint="eastAsia" w:ascii="仿宋_GB2312" w:hAnsi="仿宋_GB2312" w:eastAsia="仿宋_GB2312" w:cs="仿宋_GB2312"/>
          <w:bCs/>
          <w:color w:val="auto"/>
          <w:sz w:val="32"/>
          <w:szCs w:val="32"/>
          <w:highlight w:val="none"/>
        </w:rPr>
        <w:t>（款）机关事业单位基本养老保险缴费支出（项）: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21.83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ascii="仿宋" w:hAnsi="仿宋" w:eastAsia="仿宋"/>
          <w:color w:val="000000"/>
          <w:sz w:val="32"/>
          <w:szCs w:val="32"/>
        </w:rPr>
      </w:pPr>
      <w:r>
        <w:rPr>
          <w:rStyle w:val="15"/>
          <w:rFonts w:hint="eastAsia" w:ascii="仿宋_GB2312" w:hAnsi="仿宋_GB2312" w:eastAsia="仿宋_GB2312" w:cs="仿宋_GB2312"/>
          <w:bCs/>
          <w:color w:val="auto"/>
          <w:sz w:val="32"/>
          <w:szCs w:val="32"/>
          <w:highlight w:val="none"/>
        </w:rPr>
        <w:t>6.社会保障和就业（类）</w:t>
      </w:r>
      <w:r>
        <w:rPr>
          <w:rStyle w:val="15"/>
          <w:rFonts w:hint="eastAsia" w:ascii="仿宋_GB2312" w:hAnsi="仿宋_GB2312" w:cs="仿宋_GB2312"/>
          <w:bCs/>
          <w:color w:val="auto"/>
          <w:sz w:val="32"/>
          <w:szCs w:val="32"/>
          <w:highlight w:val="none"/>
          <w:lang w:eastAsia="zh-CN"/>
        </w:rPr>
        <w:t>行政事业单位养老支出</w:t>
      </w:r>
      <w:r>
        <w:rPr>
          <w:rStyle w:val="15"/>
          <w:rFonts w:hint="eastAsia" w:ascii="仿宋_GB2312" w:hAnsi="仿宋_GB2312" w:eastAsia="仿宋_GB2312" w:cs="仿宋_GB2312"/>
          <w:bCs/>
          <w:color w:val="auto"/>
          <w:sz w:val="32"/>
          <w:szCs w:val="32"/>
          <w:highlight w:val="none"/>
        </w:rPr>
        <w:t>（款）机关事业单位职业年金缴费支出（项）: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11.85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cs="仿宋_GB2312"/>
          <w:bCs/>
          <w:color w:val="auto"/>
          <w:sz w:val="32"/>
          <w:szCs w:val="32"/>
          <w:highlight w:val="none"/>
          <w:lang w:val="en-US" w:eastAsia="zh-CN"/>
        </w:rPr>
        <w:t>7.</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cs="仿宋_GB2312"/>
          <w:bCs/>
          <w:color w:val="auto"/>
          <w:sz w:val="32"/>
          <w:szCs w:val="32"/>
          <w:highlight w:val="none"/>
          <w:lang w:eastAsia="zh-CN"/>
        </w:rPr>
        <w:t>抚恤</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死亡抚恤</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22.23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（类）公共卫生（款）重大公共卫生服务（项）: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eastAsia" w:ascii="仿宋_GB2312" w:hAnsi="仿宋_GB2312" w:eastAsia="仿宋_GB2312" w:cs="仿宋_GB2312"/>
          <w:b/>
          <w:color w:val="auto"/>
          <w:sz w:val="32"/>
          <w:szCs w:val="32"/>
          <w:highlight w:val="none"/>
        </w:rPr>
      </w:pPr>
      <w:r>
        <w:rPr>
          <w:rFonts w:hint="eastAsia" w:ascii="仿宋_GB2312" w:hAnsi="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（类）行政事业单位医疗（款）行政单位医疗（项）: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12.04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Fonts w:hint="eastAsia" w:ascii="仿宋_GB2312" w:hAnsi="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（类）行政事业单位医疗（款）公务员医疗补助（项）: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5.10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0"/>
        <w:rPr>
          <w:rFonts w:ascii="仿宋" w:hAnsi="仿宋" w:eastAsia="仿宋"/>
          <w:b/>
          <w:color w:val="000000"/>
          <w:sz w:val="32"/>
          <w:szCs w:val="32"/>
        </w:rPr>
      </w:pPr>
      <w:r>
        <w:rPr>
          <w:rFonts w:hint="eastAsia" w:ascii="仿宋_GB2312" w:hAnsi="仿宋_GB2312" w:cs="仿宋_GB2312"/>
          <w:b/>
          <w:bCs/>
          <w:color w:val="auto"/>
          <w:sz w:val="32"/>
          <w:szCs w:val="32"/>
          <w:highlight w:val="none"/>
          <w:lang w:val="en-US" w:eastAsia="zh-CN"/>
        </w:rPr>
        <w:t>11.住房保障支出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cs="仿宋_GB2312"/>
          <w:bCs/>
          <w:color w:val="auto"/>
          <w:sz w:val="32"/>
          <w:szCs w:val="32"/>
          <w:highlight w:val="none"/>
          <w:lang w:eastAsia="zh-CN"/>
        </w:rPr>
        <w:t>住房改革支出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住房公积金</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17.65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tabs>
          <w:tab w:val="right" w:pos="8306"/>
        </w:tabs>
        <w:spacing w:line="600" w:lineRule="exact"/>
        <w:ind w:firstLine="640"/>
        <w:outlineLvl w:val="1"/>
        <w:rPr>
          <w:rStyle w:val="18"/>
        </w:rPr>
      </w:pPr>
      <w:bookmarkStart w:id="33" w:name="_Toc15377214"/>
      <w:bookmarkStart w:id="34" w:name="_Toc30529"/>
      <w:bookmarkStart w:id="35" w:name="_Toc15396608"/>
      <w:bookmarkStart w:id="36" w:name="_Toc693483090"/>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33"/>
      <w:bookmarkEnd w:id="34"/>
      <w:bookmarkEnd w:id="35"/>
      <w:bookmarkEnd w:id="36"/>
      <w:r>
        <w:rPr>
          <w:rStyle w:val="18"/>
          <w:rFonts w:ascii="黑体" w:hAnsi="黑体" w:eastAsia="黑体"/>
          <w:b w:val="0"/>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cs="仿宋_GB2312"/>
          <w:color w:val="auto"/>
          <w:sz w:val="32"/>
          <w:szCs w:val="32"/>
          <w:highlight w:val="none"/>
          <w:lang w:val="en-US" w:eastAsia="zh-CN"/>
        </w:rPr>
        <w:t>364.68</w:t>
      </w:r>
      <w:r>
        <w:rPr>
          <w:rFonts w:hint="eastAsia" w:ascii="仿宋_GB2312" w:hAnsi="仿宋_GB2312" w:eastAsia="仿宋_GB2312" w:cs="仿宋_GB2312"/>
          <w:color w:val="auto"/>
          <w:sz w:val="32"/>
          <w:szCs w:val="32"/>
          <w:highlight w:val="none"/>
        </w:rPr>
        <w:t>万元，其中：</w:t>
      </w:r>
    </w:p>
    <w:p>
      <w:pPr>
        <w:spacing w:line="600" w:lineRule="exact"/>
        <w:ind w:firstLine="640"/>
        <w:rPr>
          <w:rFonts w:ascii="仿宋" w:hAnsi="仿宋" w:eastAsia="仿宋"/>
          <w:b/>
          <w:color w:val="FF0000"/>
          <w:sz w:val="32"/>
          <w:szCs w:val="32"/>
        </w:rPr>
      </w:pPr>
      <w:r>
        <w:rPr>
          <w:rFonts w:hint="eastAsia" w:ascii="仿宋_GB2312" w:hAnsi="仿宋_GB2312" w:eastAsia="仿宋_GB2312" w:cs="仿宋_GB2312"/>
          <w:color w:val="auto"/>
          <w:sz w:val="32"/>
          <w:szCs w:val="32"/>
          <w:highlight w:val="none"/>
        </w:rPr>
        <w:t>人员经费</w:t>
      </w:r>
      <w:r>
        <w:rPr>
          <w:rFonts w:hint="eastAsia" w:ascii="仿宋_GB2312" w:hAnsi="仿宋_GB2312" w:cs="仿宋_GB2312"/>
          <w:color w:val="auto"/>
          <w:sz w:val="32"/>
          <w:szCs w:val="32"/>
          <w:highlight w:val="none"/>
          <w:lang w:val="en-US" w:eastAsia="zh-CN"/>
        </w:rPr>
        <w:t>323.42</w:t>
      </w:r>
      <w:r>
        <w:rPr>
          <w:rFonts w:hint="eastAsia" w:ascii="仿宋_GB2312" w:hAnsi="仿宋_GB2312" w:eastAsia="仿宋_GB2312" w:cs="仿宋_GB2312"/>
          <w:color w:val="auto"/>
          <w:sz w:val="32"/>
          <w:szCs w:val="32"/>
          <w:highlight w:val="none"/>
        </w:rPr>
        <w:t>万元，主要包括：基本工资、津贴补贴、奖金、机关事业单位基本养老保险缴费、职业年金缴费、职工基本医疗保险缴费、公务员医疗补助缴费</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其他社会保障缴费、其他工资福利支出、退休费、抚恤金、住房公积金、其他对个人和家庭的补助支出等。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cs="仿宋_GB2312"/>
          <w:color w:val="auto"/>
          <w:sz w:val="32"/>
          <w:szCs w:val="32"/>
          <w:highlight w:val="none"/>
          <w:lang w:val="en-US" w:eastAsia="zh-CN"/>
        </w:rPr>
        <w:t>41.26</w:t>
      </w:r>
      <w:r>
        <w:rPr>
          <w:rFonts w:hint="eastAsia" w:ascii="仿宋_GB2312" w:hAnsi="仿宋_GB2312" w:eastAsia="仿宋_GB2312" w:cs="仿宋_GB2312"/>
          <w:color w:val="auto"/>
          <w:sz w:val="32"/>
          <w:szCs w:val="32"/>
          <w:highlight w:val="none"/>
        </w:rPr>
        <w:t>万元，主要包括：印刷费、水费、电费、会议费、公务接待费、劳务费、工会经费、福利费、公务用车运行维护费、其他交通费、其他商品和服务支出。</w:t>
      </w:r>
    </w:p>
    <w:p>
      <w:pPr>
        <w:spacing w:line="600" w:lineRule="exact"/>
        <w:ind w:firstLine="640"/>
        <w:outlineLvl w:val="1"/>
        <w:rPr>
          <w:rStyle w:val="18"/>
          <w:rFonts w:ascii="黑体" w:hAnsi="黑体" w:eastAsia="黑体"/>
          <w:b w:val="0"/>
        </w:rPr>
      </w:pPr>
      <w:bookmarkStart w:id="37" w:name="_Toc15396609"/>
      <w:bookmarkStart w:id="38" w:name="_Toc15377215"/>
      <w:bookmarkStart w:id="39" w:name="_Toc2084050475"/>
      <w:bookmarkStart w:id="40" w:name="_Toc98"/>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7"/>
      <w:bookmarkEnd w:id="38"/>
      <w:bookmarkEnd w:id="39"/>
      <w:bookmarkEnd w:id="40"/>
    </w:p>
    <w:p>
      <w:pPr>
        <w:spacing w:line="600" w:lineRule="exact"/>
        <w:ind w:firstLine="640"/>
        <w:outlineLvl w:val="2"/>
        <w:rPr>
          <w:rFonts w:hint="eastAsia" w:ascii="仿宋_GB2312" w:hAnsi="仿宋_GB2312" w:eastAsia="仿宋_GB2312" w:cs="仿宋_GB2312"/>
          <w:b/>
          <w:color w:val="000000"/>
          <w:sz w:val="32"/>
          <w:szCs w:val="32"/>
        </w:rPr>
      </w:pPr>
      <w:bookmarkStart w:id="41" w:name="_Toc15377216"/>
      <w:r>
        <w:rPr>
          <w:rFonts w:hint="eastAsia" w:ascii="仿宋_GB2312" w:hAnsi="仿宋_GB2312" w:eastAsia="仿宋_GB2312" w:cs="仿宋_GB2312"/>
          <w:b/>
          <w:color w:val="000000"/>
          <w:sz w:val="32"/>
          <w:szCs w:val="32"/>
        </w:rPr>
        <w:t>（一）“三公”经费财政拨款支出决算总体情况说明</w:t>
      </w:r>
      <w:bookmarkEnd w:id="4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cs="仿宋_GB2312"/>
          <w:color w:val="auto"/>
          <w:sz w:val="32"/>
          <w:szCs w:val="32"/>
          <w:highlight w:val="none"/>
          <w:lang w:val="en-US" w:eastAsia="zh-CN"/>
        </w:rPr>
        <w:t>3.46</w:t>
      </w:r>
      <w:r>
        <w:rPr>
          <w:rFonts w:hint="eastAsia" w:ascii="仿宋_GB2312" w:hAnsi="仿宋_GB2312" w:eastAsia="仿宋_GB2312" w:cs="仿宋_GB2312"/>
          <w:color w:val="auto"/>
          <w:sz w:val="32"/>
          <w:szCs w:val="32"/>
          <w:highlight w:val="none"/>
        </w:rPr>
        <w:t>万元，完成预算</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lang w:val="en-US" w:eastAsia="zh-CN"/>
        </w:rPr>
        <w:t>万元，增长</w:t>
      </w:r>
      <w:r>
        <w:rPr>
          <w:rFonts w:hint="eastAsia" w:ascii="仿宋_GB2312" w:hAnsi="仿宋_GB2312" w:cs="仿宋_GB2312"/>
          <w:color w:val="auto"/>
          <w:sz w:val="32"/>
          <w:szCs w:val="32"/>
          <w:highlight w:val="none"/>
          <w:lang w:val="en-US" w:eastAsia="zh-CN"/>
        </w:rPr>
        <w:t>126.14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决算数与预算数持平的主要原因是厉行节约，压</w:t>
      </w:r>
      <w:r>
        <w:rPr>
          <w:rFonts w:hint="eastAsia" w:ascii="仿宋_GB2312" w:hAnsi="仿宋_GB2312" w:cs="仿宋_GB2312"/>
          <w:color w:val="auto"/>
          <w:sz w:val="32"/>
          <w:szCs w:val="32"/>
          <w:highlight w:val="none"/>
          <w:lang w:eastAsia="zh-CN"/>
        </w:rPr>
        <w:t>缩三公经费支出</w:t>
      </w:r>
      <w:r>
        <w:rPr>
          <w:rFonts w:hint="eastAsia" w:ascii="仿宋_GB2312" w:hAnsi="仿宋_GB2312" w:eastAsia="仿宋_GB2312" w:cs="仿宋_GB2312"/>
          <w:color w:val="auto"/>
          <w:sz w:val="32"/>
          <w:szCs w:val="32"/>
          <w:highlight w:val="none"/>
        </w:rPr>
        <w:t>。</w:t>
      </w:r>
    </w:p>
    <w:p>
      <w:pPr>
        <w:spacing w:line="600" w:lineRule="exact"/>
        <w:ind w:firstLine="640"/>
        <w:outlineLvl w:val="2"/>
        <w:rPr>
          <w:rFonts w:hint="eastAsia" w:ascii="仿宋_GB2312" w:hAnsi="仿宋_GB2312" w:eastAsia="仿宋_GB2312" w:cs="仿宋_GB2312"/>
          <w:b/>
          <w:color w:val="000000"/>
          <w:sz w:val="32"/>
          <w:szCs w:val="32"/>
        </w:rPr>
      </w:pPr>
      <w:bookmarkStart w:id="42" w:name="_Toc15377217"/>
      <w:r>
        <w:rPr>
          <w:rFonts w:hint="eastAsia" w:ascii="仿宋_GB2312" w:hAnsi="仿宋_GB2312" w:eastAsia="仿宋_GB2312" w:cs="仿宋_GB2312"/>
          <w:b/>
          <w:color w:val="000000"/>
          <w:sz w:val="32"/>
          <w:szCs w:val="32"/>
        </w:rPr>
        <w:t>（二）“三公”经费财政拨款支出决算具体情况说明</w:t>
      </w:r>
      <w:bookmarkEnd w:id="42"/>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87.86</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12.14</w:t>
      </w:r>
      <w:r>
        <w:rPr>
          <w:rFonts w:hint="eastAsia" w:ascii="仿宋_GB2312" w:hAnsi="仿宋_GB2312" w:eastAsia="仿宋_GB2312" w:cs="仿宋_GB2312"/>
          <w:color w:val="auto"/>
          <w:sz w:val="32"/>
          <w:szCs w:val="32"/>
          <w:highlight w:val="none"/>
        </w:rPr>
        <w:t>%。具体情况如下：</w:t>
      </w:r>
    </w:p>
    <w:p>
      <w:pPr>
        <w:spacing w:line="600" w:lineRule="exact"/>
        <w:ind w:firstLine="5760" w:firstLineChars="1800"/>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单位：万元</w:t>
      </w:r>
    </w:p>
    <w:p>
      <w:pPr>
        <w:pStyle w:val="2"/>
        <w:jc w:val="center"/>
        <w:rPr>
          <w:rFonts w:hint="eastAsia"/>
        </w:rPr>
      </w:pPr>
      <w:r>
        <w:rPr>
          <w:rFonts w:hint="eastAsia" w:eastAsia="仿宋_GB2312"/>
          <w:lang w:eastAsia="zh-CN"/>
        </w:rPr>
        <w:drawing>
          <wp:inline distT="0" distB="0" distL="0" distR="0">
            <wp:extent cx="4839970" cy="2755265"/>
            <wp:effectExtent l="0" t="0" r="17780" b="6985"/>
            <wp:docPr id="1032" name="图片 20" descr="图片7"/>
            <wp:cNvGraphicFramePr/>
            <a:graphic xmlns:a="http://schemas.openxmlformats.org/drawingml/2006/main">
              <a:graphicData uri="http://schemas.openxmlformats.org/drawingml/2006/picture">
                <pic:pic xmlns:pic="http://schemas.openxmlformats.org/drawingml/2006/picture">
                  <pic:nvPicPr>
                    <pic:cNvPr id="1032" name="图片 20" descr="图片7"/>
                    <pic:cNvPicPr/>
                  </pic:nvPicPr>
                  <pic:blipFill>
                    <a:blip r:embed="rId11" cstate="print"/>
                    <a:srcRect/>
                    <a:stretch>
                      <a:fillRect/>
                    </a:stretch>
                  </pic:blipFill>
                  <pic:spPr>
                    <a:xfrm>
                      <a:off x="0" y="0"/>
                      <a:ext cx="4839970" cy="2755265"/>
                    </a:xfrm>
                    <a:prstGeom prst="rect">
                      <a:avLst/>
                    </a:prstGeom>
                  </pic:spPr>
                </pic:pic>
              </a:graphicData>
            </a:graphic>
          </wp:inline>
        </w:drawing>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全年安排因公出国（境）团组</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次，出国（境）</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人。因公出国（境）支出决算比</w:t>
      </w:r>
      <w:r>
        <w:rPr>
          <w:rFonts w:hint="eastAsia" w:ascii="仿宋_GB2312" w:hAnsi="仿宋_GB2312" w:cs="仿宋_GB2312"/>
          <w:color w:val="auto"/>
          <w:sz w:val="32"/>
          <w:szCs w:val="32"/>
          <w:highlight w:val="none"/>
          <w:lang w:eastAsia="zh-CN"/>
        </w:rPr>
        <w:t>2022年持平</w:t>
      </w:r>
      <w:r>
        <w:rPr>
          <w:rFonts w:hint="eastAsia" w:ascii="仿宋_GB2312" w:hAnsi="仿宋_GB2312" w:eastAsia="仿宋_GB2312" w:cs="仿宋_GB2312"/>
          <w:color w:val="auto"/>
          <w:sz w:val="32"/>
          <w:szCs w:val="32"/>
          <w:highlight w:val="none"/>
        </w:rPr>
        <w:t>。主要原因是</w:t>
      </w:r>
      <w:r>
        <w:rPr>
          <w:rFonts w:hint="eastAsia" w:ascii="仿宋_GB2312" w:hAnsi="仿宋_GB2312" w:cs="仿宋_GB2312"/>
          <w:color w:val="auto"/>
          <w:sz w:val="32"/>
          <w:szCs w:val="32"/>
          <w:highlight w:val="none"/>
          <w:lang w:eastAsia="zh-CN"/>
        </w:rPr>
        <w:t>本年度未安排因公出国（境）</w:t>
      </w:r>
      <w:r>
        <w:rPr>
          <w:rFonts w:hint="eastAsia" w:ascii="仿宋_GB2312" w:hAnsi="仿宋_GB2312" w:eastAsia="仿宋_GB2312" w:cs="仿宋_GB2312"/>
          <w:color w:val="auto"/>
          <w:sz w:val="32"/>
          <w:szCs w:val="32"/>
          <w:highlight w:val="none"/>
        </w:rPr>
        <w:t>。</w:t>
      </w:r>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增加</w:t>
      </w:r>
      <w:r>
        <w:rPr>
          <w:rFonts w:hint="eastAsia" w:ascii="仿宋_GB2312" w:hAnsi="仿宋_GB2312" w:cs="仿宋_GB2312"/>
          <w:color w:val="auto"/>
          <w:sz w:val="32"/>
          <w:szCs w:val="32"/>
          <w:highlight w:val="none"/>
          <w:lang w:val="en-US" w:eastAsia="zh-CN"/>
        </w:rPr>
        <w:t>2.13</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234.07</w:t>
      </w:r>
      <w:r>
        <w:rPr>
          <w:rFonts w:hint="eastAsia" w:ascii="仿宋_GB2312" w:hAnsi="仿宋_GB2312" w:eastAsia="仿宋_GB2312" w:cs="仿宋_GB2312"/>
          <w:color w:val="auto"/>
          <w:sz w:val="32"/>
          <w:szCs w:val="32"/>
          <w:highlight w:val="none"/>
        </w:rPr>
        <w:t>%。主要原因是</w:t>
      </w:r>
      <w:r>
        <w:rPr>
          <w:rFonts w:hint="eastAsia" w:ascii="仿宋_GB2312" w:hAnsi="仿宋_GB2312" w:cs="仿宋_GB2312"/>
          <w:color w:val="auto"/>
          <w:sz w:val="32"/>
          <w:szCs w:val="32"/>
          <w:highlight w:val="none"/>
          <w:lang w:val="en-US" w:eastAsia="zh-CN"/>
        </w:rPr>
        <w:t>因公务用车使用年限长，车辆配件老化，本年大修三次</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万元，越野车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万元，载客汽车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w:t>
      </w: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12月底，单位共有公务用车</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辆，其中：轿车</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辆、越野车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辆、载客汽车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万元。主要用于</w:t>
      </w:r>
      <w:r>
        <w:rPr>
          <w:rFonts w:hint="eastAsia" w:ascii="仿宋_GB2312" w:hAnsi="仿宋_GB2312" w:cs="仿宋_GB2312"/>
          <w:color w:val="auto"/>
          <w:sz w:val="32"/>
          <w:szCs w:val="32"/>
          <w:highlight w:val="none"/>
          <w:lang w:eastAsia="zh-CN"/>
        </w:rPr>
        <w:t>应急处突及下乡开展调研</w:t>
      </w:r>
      <w:r>
        <w:rPr>
          <w:rFonts w:hint="eastAsia" w:ascii="仿宋_GB2312" w:hAnsi="仿宋_GB2312" w:eastAsia="仿宋_GB2312" w:cs="仿宋_GB2312"/>
          <w:color w:val="auto"/>
          <w:sz w:val="32"/>
          <w:szCs w:val="32"/>
          <w:highlight w:val="none"/>
        </w:rPr>
        <w:t>等所需的公务用车燃料费、维修费、过路过桥费、保险费等支出。</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减少</w:t>
      </w:r>
      <w:r>
        <w:rPr>
          <w:rFonts w:hint="eastAsia" w:ascii="仿宋_GB2312" w:hAnsi="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万元，下降</w:t>
      </w:r>
      <w:r>
        <w:rPr>
          <w:rFonts w:hint="eastAsia" w:ascii="仿宋_GB2312" w:hAnsi="仿宋_GB2312" w:cs="仿宋_GB2312"/>
          <w:color w:val="auto"/>
          <w:sz w:val="32"/>
          <w:szCs w:val="32"/>
          <w:highlight w:val="none"/>
          <w:lang w:val="en-US" w:eastAsia="zh-CN"/>
        </w:rPr>
        <w:t>32.26</w:t>
      </w:r>
      <w:r>
        <w:rPr>
          <w:rFonts w:hint="eastAsia" w:ascii="仿宋_GB2312" w:hAnsi="仿宋_GB2312" w:eastAsia="仿宋_GB2312" w:cs="仿宋_GB2312"/>
          <w:color w:val="auto"/>
          <w:sz w:val="32"/>
          <w:szCs w:val="32"/>
          <w:highlight w:val="none"/>
        </w:rPr>
        <w:t>%。主要原因是厉行节约，压</w:t>
      </w:r>
      <w:r>
        <w:rPr>
          <w:rFonts w:hint="eastAsia" w:ascii="仿宋_GB2312" w:hAnsi="仿宋_GB2312" w:cs="仿宋_GB2312"/>
          <w:color w:val="auto"/>
          <w:sz w:val="32"/>
          <w:szCs w:val="32"/>
          <w:highlight w:val="none"/>
          <w:lang w:eastAsia="zh-CN"/>
        </w:rPr>
        <w:t>缩三公经费支出</w:t>
      </w:r>
      <w:r>
        <w:rPr>
          <w:rFonts w:hint="eastAsia" w:ascii="仿宋_GB2312" w:hAnsi="仿宋_GB2312" w:eastAsia="仿宋_GB2312" w:cs="仿宋_GB2312"/>
          <w:color w:val="auto"/>
          <w:sz w:val="32"/>
          <w:szCs w:val="32"/>
          <w:highlight w:val="none"/>
        </w:rPr>
        <w:t>。其中：</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万元，主要用于开展业务活动开支的交通费、住宿费、用餐费等。国内公务接待</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批次，</w:t>
      </w:r>
      <w:r>
        <w:rPr>
          <w:rFonts w:hint="eastAsia" w:ascii="仿宋_GB2312" w:hAnsi="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lang w:eastAsia="zh-CN"/>
        </w:rPr>
        <w:t>成渝地区双城经济圈建设家家幸福安康工程—共商新时代家庭教育观辩论赛</w:t>
      </w:r>
      <w:r>
        <w:rPr>
          <w:rFonts w:hint="eastAsia" w:ascii="仿宋_GB2312" w:hAnsi="仿宋_GB2312" w:cs="仿宋_GB2312"/>
          <w:color w:val="auto"/>
          <w:sz w:val="32"/>
          <w:szCs w:val="32"/>
          <w:highlight w:val="none"/>
          <w:lang w:val="en-US" w:eastAsia="zh-CN"/>
        </w:rPr>
        <w:t>公务接待0.42万元</w:t>
      </w:r>
      <w:r>
        <w:rPr>
          <w:rFonts w:hint="eastAsia" w:ascii="仿宋_GB2312" w:hAnsi="仿宋_GB2312" w:eastAsia="仿宋_GB2312" w:cs="仿宋_GB2312"/>
          <w:color w:val="auto"/>
          <w:sz w:val="32"/>
          <w:szCs w:val="32"/>
          <w:highlight w:val="none"/>
        </w:rPr>
        <w:t>。</w:t>
      </w:r>
    </w:p>
    <w:p>
      <w:pPr>
        <w:spacing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spacing w:line="600" w:lineRule="exact"/>
        <w:ind w:firstLine="640"/>
        <w:outlineLvl w:val="1"/>
        <w:rPr>
          <w:rStyle w:val="18"/>
          <w:rFonts w:ascii="黑体" w:hAnsi="黑体" w:eastAsia="黑体"/>
        </w:rPr>
      </w:pPr>
      <w:bookmarkStart w:id="43" w:name="_Toc27509"/>
      <w:bookmarkStart w:id="44" w:name="_Toc1591094750"/>
      <w:bookmarkStart w:id="45" w:name="_Toc15377218"/>
      <w:bookmarkStart w:id="46" w:name="_Toc15396610"/>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3"/>
      <w:bookmarkEnd w:id="44"/>
      <w:bookmarkEnd w:id="45"/>
      <w:bookmarkEnd w:id="46"/>
    </w:p>
    <w:p>
      <w:pPr>
        <w:spacing w:line="600" w:lineRule="exact"/>
        <w:ind w:firstLine="640"/>
        <w:rPr>
          <w:rFonts w:ascii="仿宋_GB2312" w:eastAsia="仿宋_GB2312"/>
          <w:color w:val="000000"/>
          <w:sz w:val="32"/>
          <w:szCs w:val="32"/>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numPr>
          <w:ilvl w:val="0"/>
          <w:numId w:val="2"/>
        </w:numPr>
        <w:spacing w:line="600" w:lineRule="exact"/>
        <w:ind w:firstLine="640"/>
        <w:outlineLvl w:val="1"/>
        <w:rPr>
          <w:rStyle w:val="18"/>
          <w:rFonts w:ascii="黑体" w:hAnsi="黑体" w:eastAsia="黑体"/>
          <w:b w:val="0"/>
        </w:rPr>
      </w:pPr>
      <w:bookmarkStart w:id="47" w:name="_Toc15377219"/>
      <w:bookmarkStart w:id="48" w:name="_Toc269"/>
      <w:bookmarkStart w:id="49" w:name="_Toc15396611"/>
      <w:bookmarkStart w:id="50" w:name="_Toc937569418"/>
      <w:r>
        <w:rPr>
          <w:rStyle w:val="18"/>
          <w:rFonts w:hint="eastAsia" w:ascii="黑体" w:hAnsi="黑体" w:eastAsia="黑体"/>
          <w:b w:val="0"/>
        </w:rPr>
        <w:t>国有资本经营预算支出决算情况说明</w:t>
      </w:r>
      <w:bookmarkEnd w:id="47"/>
      <w:bookmarkEnd w:id="48"/>
      <w:bookmarkEnd w:id="49"/>
      <w:bookmarkEnd w:id="50"/>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spacing w:line="600" w:lineRule="exact"/>
        <w:ind w:firstLine="800" w:firstLineChars="250"/>
        <w:outlineLvl w:val="1"/>
        <w:rPr>
          <w:rStyle w:val="18"/>
          <w:rFonts w:ascii="黑体" w:hAnsi="黑体" w:eastAsia="黑体"/>
        </w:rPr>
      </w:pPr>
      <w:bookmarkStart w:id="51" w:name="_Toc15678"/>
      <w:bookmarkStart w:id="52" w:name="_Toc479257254"/>
      <w:bookmarkStart w:id="53" w:name="_Toc15396612"/>
      <w:bookmarkStart w:id="54" w:name="_Toc15377221"/>
      <w:r>
        <w:rPr>
          <w:rFonts w:hint="eastAsia" w:ascii="黑体" w:hAnsi="黑体" w:eastAsia="黑体"/>
          <w:color w:val="000000"/>
          <w:sz w:val="32"/>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51"/>
      <w:bookmarkEnd w:id="52"/>
      <w:bookmarkEnd w:id="53"/>
      <w:bookmarkEnd w:id="54"/>
    </w:p>
    <w:p>
      <w:pPr>
        <w:spacing w:line="600" w:lineRule="exact"/>
        <w:ind w:firstLine="642" w:firstLineChars="200"/>
        <w:outlineLvl w:val="2"/>
        <w:rPr>
          <w:rFonts w:hint="eastAsia" w:ascii="仿宋_GB2312" w:hAnsi="仿宋_GB2312" w:eastAsia="仿宋_GB2312" w:cs="仿宋_GB2312"/>
          <w:color w:val="000000"/>
          <w:sz w:val="32"/>
          <w:szCs w:val="32"/>
        </w:rPr>
      </w:pPr>
      <w:bookmarkStart w:id="55" w:name="_Toc15377222"/>
      <w:r>
        <w:rPr>
          <w:rFonts w:hint="eastAsia" w:ascii="仿宋_GB2312" w:hAnsi="仿宋_GB2312" w:eastAsia="仿宋_GB2312" w:cs="仿宋_GB2312"/>
          <w:b/>
          <w:color w:val="000000"/>
          <w:sz w:val="32"/>
          <w:szCs w:val="32"/>
        </w:rPr>
        <w:t>（一）机关运行经费支出情况</w:t>
      </w:r>
      <w:bookmarkEnd w:id="55"/>
    </w:p>
    <w:p>
      <w:pPr>
        <w:spacing w:line="600" w:lineRule="exact"/>
        <w:ind w:firstLine="640" w:firstLineChars="200"/>
        <w:rPr>
          <w:rFonts w:hint="eastAsia" w:ascii="仿宋_GB2312" w:hAnsi="仿宋_GB2312" w:eastAsia="仿宋_GB2312" w:cs="仿宋_GB2312"/>
          <w:b/>
          <w:color w:val="FF0000"/>
          <w:sz w:val="32"/>
          <w:szCs w:val="32"/>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cs="仿宋_GB2312"/>
          <w:color w:val="auto"/>
          <w:sz w:val="32"/>
          <w:szCs w:val="32"/>
          <w:highlight w:val="none"/>
          <w:lang w:val="en-US" w:eastAsia="zh-CN"/>
        </w:rPr>
        <w:t>41.26</w:t>
      </w:r>
      <w:r>
        <w:rPr>
          <w:rFonts w:hint="eastAsia" w:ascii="仿宋_GB2312" w:hAnsi="仿宋_GB2312" w:eastAsia="仿宋_GB2312" w:cs="仿宋_GB2312"/>
          <w:color w:val="auto"/>
          <w:sz w:val="32"/>
          <w:szCs w:val="32"/>
          <w:highlight w:val="none"/>
        </w:rPr>
        <w:t>万元，比</w:t>
      </w:r>
      <w:r>
        <w:rPr>
          <w:rFonts w:hint="eastAsia" w:ascii="仿宋_GB2312" w:hAnsi="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年增加</w:t>
      </w:r>
      <w:r>
        <w:rPr>
          <w:rFonts w:hint="eastAsia" w:ascii="仿宋_GB2312" w:hAnsi="仿宋_GB2312" w:cs="仿宋_GB2312"/>
          <w:color w:val="auto"/>
          <w:sz w:val="32"/>
          <w:szCs w:val="32"/>
          <w:highlight w:val="none"/>
          <w:lang w:val="en-US" w:eastAsia="zh-CN"/>
        </w:rPr>
        <w:t>11.27</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37.58</w:t>
      </w:r>
      <w:r>
        <w:rPr>
          <w:rFonts w:hint="eastAsia" w:ascii="仿宋_GB2312" w:hAnsi="仿宋_GB2312" w:eastAsia="仿宋_GB2312" w:cs="仿宋_GB2312"/>
          <w:color w:val="auto"/>
          <w:sz w:val="32"/>
          <w:szCs w:val="32"/>
          <w:highlight w:val="none"/>
        </w:rPr>
        <w:t>%。主要原因是</w:t>
      </w:r>
      <w:r>
        <w:rPr>
          <w:rFonts w:hint="eastAsia" w:ascii="仿宋_GB2312" w:hAnsi="仿宋_GB2312" w:cs="仿宋_GB2312"/>
          <w:color w:val="auto"/>
          <w:sz w:val="32"/>
          <w:szCs w:val="32"/>
          <w:highlight w:val="none"/>
          <w:lang w:val="en-US" w:eastAsia="zh-CN"/>
        </w:rPr>
        <w:t>2023年</w:t>
      </w:r>
      <w:r>
        <w:rPr>
          <w:rFonts w:hint="eastAsia" w:ascii="仿宋_GB2312" w:hAnsi="仿宋_GB2312" w:cs="仿宋_GB2312"/>
          <w:color w:val="auto"/>
          <w:sz w:val="32"/>
          <w:szCs w:val="32"/>
          <w:highlight w:val="none"/>
          <w:lang w:eastAsia="zh-CN"/>
        </w:rPr>
        <w:t>公车运行维护费及其他商品和服务支出增多</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56" w:name="_Toc15377223"/>
      <w:r>
        <w:rPr>
          <w:rFonts w:hint="eastAsia" w:ascii="仿宋_GB2312" w:hAnsi="仿宋_GB2312" w:eastAsia="仿宋_GB2312" w:cs="仿宋_GB2312"/>
          <w:b/>
          <w:color w:val="000000"/>
          <w:sz w:val="32"/>
          <w:szCs w:val="32"/>
        </w:rPr>
        <w:t>（二）政府采购支出情况</w:t>
      </w:r>
      <w:bookmarkEnd w:id="56"/>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cs="仿宋_GB2312"/>
          <w:color w:val="auto"/>
          <w:sz w:val="32"/>
          <w:szCs w:val="32"/>
          <w:highlight w:val="none"/>
          <w:lang w:val="en-US" w:eastAsia="zh-CN"/>
        </w:rPr>
        <w:t>5.38</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万元。主要</w:t>
      </w:r>
      <w:bookmarkStart w:id="91" w:name="_GoBack"/>
      <w:bookmarkEnd w:id="91"/>
      <w:r>
        <w:rPr>
          <w:rFonts w:hint="eastAsia" w:ascii="仿宋_GB2312" w:hAnsi="仿宋_GB2312" w:eastAsia="仿宋_GB2312" w:cs="仿宋_GB2312"/>
          <w:color w:val="auto"/>
          <w:sz w:val="32"/>
          <w:szCs w:val="32"/>
          <w:highlight w:val="none"/>
        </w:rPr>
        <w:t>用于</w:t>
      </w:r>
      <w:r>
        <w:rPr>
          <w:rFonts w:hint="eastAsia" w:ascii="仿宋_GB2312" w:hAnsi="仿宋_GB2312" w:cs="仿宋_GB2312"/>
          <w:color w:val="auto"/>
          <w:sz w:val="32"/>
          <w:szCs w:val="32"/>
          <w:highlight w:val="none"/>
          <w:lang w:eastAsia="zh-CN"/>
        </w:rPr>
        <w:t>公务用车维修维护及加油费用等</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cs="仿宋_GB2312"/>
          <w:color w:val="auto"/>
          <w:sz w:val="32"/>
          <w:szCs w:val="32"/>
          <w:highlight w:val="none"/>
          <w:lang w:val="en-US" w:eastAsia="zh-CN"/>
        </w:rPr>
        <w:t>4.18</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cs="仿宋_GB2312"/>
          <w:color w:val="auto"/>
          <w:sz w:val="32"/>
          <w:szCs w:val="32"/>
          <w:highlight w:val="none"/>
          <w:lang w:val="en-US" w:eastAsia="zh-CN"/>
        </w:rPr>
        <w:t>77.70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cs="仿宋_GB2312"/>
          <w:color w:val="auto"/>
          <w:sz w:val="32"/>
          <w:szCs w:val="32"/>
          <w:highlight w:val="none"/>
          <w:lang w:val="en-US" w:eastAsia="zh-CN"/>
        </w:rPr>
        <w:t>0.95</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cs="仿宋_GB2312"/>
          <w:color w:val="auto"/>
          <w:sz w:val="32"/>
          <w:szCs w:val="32"/>
          <w:highlight w:val="none"/>
          <w:lang w:val="en-US" w:eastAsia="zh-CN"/>
        </w:rPr>
        <w:t>17.66</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57" w:name="_Toc15377224"/>
      <w:r>
        <w:rPr>
          <w:rFonts w:hint="eastAsia" w:ascii="仿宋_GB2312" w:hAnsi="仿宋_GB2312" w:eastAsia="仿宋_GB2312" w:cs="仿宋_GB2312"/>
          <w:b/>
          <w:color w:val="000000"/>
          <w:sz w:val="32"/>
          <w:szCs w:val="32"/>
        </w:rPr>
        <w:t>（三）国有资产占有使用情况</w:t>
      </w:r>
      <w:bookmarkEnd w:id="57"/>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w:t>
      </w:r>
      <w:r>
        <w:rPr>
          <w:rFonts w:hint="eastAsia" w:ascii="仿宋_GB2312" w:hAnsi="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年12月31日，</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共有车辆</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辆、其他用车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单价100万元以上专用设备</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度预算编制阶段，组织对市妇联妇儿工委项目等</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kinsoku/>
        <w:wordWrap/>
        <w:overflowPunct w:val="0"/>
        <w:topLinePunct w:val="0"/>
        <w:autoSpaceDE/>
        <w:autoSpaceDN/>
        <w:bidi w:val="0"/>
        <w:spacing w:line="592"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w:t>
      </w: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度一般公共预算、政府性基金预算、国有资本经营预算、社会保险基金预算以及资本资产、债券资金等全面开展绩效自评，形成</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cs="仿宋_GB2312"/>
          <w:color w:val="auto"/>
          <w:sz w:val="32"/>
          <w:szCs w:val="32"/>
          <w:highlight w:val="none"/>
          <w:lang w:eastAsia="zh-CN"/>
        </w:rPr>
        <w:t>市妇联强基固本再提升行动</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cs="仿宋_GB2312"/>
          <w:color w:val="auto"/>
          <w:sz w:val="32"/>
          <w:szCs w:val="32"/>
          <w:highlight w:val="none"/>
          <w:lang w:val="en-US" w:eastAsia="zh-CN"/>
        </w:rPr>
        <w:t>97.45</w:t>
      </w:r>
      <w:r>
        <w:rPr>
          <w:rFonts w:hint="eastAsia" w:ascii="仿宋_GB2312" w:hAnsi="仿宋_GB2312" w:eastAsia="仿宋_GB2312" w:cs="仿宋_GB2312"/>
          <w:color w:val="auto"/>
          <w:sz w:val="32"/>
          <w:szCs w:val="32"/>
          <w:highlight w:val="none"/>
        </w:rPr>
        <w:t>分，绩效自评综述：</w:t>
      </w:r>
      <w:r>
        <w:rPr>
          <w:rFonts w:hint="default" w:ascii="Times New Roman" w:hAnsi="Times New Roman" w:eastAsia="仿宋_GB2312" w:cs="Times New Roman"/>
          <w:color w:val="auto"/>
          <w:sz w:val="32"/>
          <w:szCs w:val="32"/>
        </w:rPr>
        <w:t>本部门按要求对202</w:t>
      </w: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年部门整体支出开展绩效自评，从评价情况来看</w:t>
      </w:r>
      <w:r>
        <w:rPr>
          <w:rFonts w:hint="eastAsia" w:ascii="Times New Roman" w:hAnsi="Times New Roman" w:cs="Times New Roman"/>
          <w:color w:val="auto"/>
          <w:szCs w:val="32"/>
          <w:lang w:eastAsia="zh-CN"/>
        </w:rPr>
        <w:t>自贡市妇女联合会</w:t>
      </w:r>
      <w:r>
        <w:rPr>
          <w:rFonts w:hint="default" w:ascii="Times New Roman" w:hAnsi="Times New Roman" w:cs="Times New Roman"/>
          <w:color w:val="auto"/>
          <w:szCs w:val="32"/>
        </w:rPr>
        <w:t>较完整地编制了计划、依据、当年要完成的工作任务和预期要完成的绩效目标</w:t>
      </w:r>
      <w:r>
        <w:rPr>
          <w:rFonts w:hint="eastAsia" w:cs="Times New Roman"/>
          <w:color w:val="auto"/>
          <w:szCs w:val="32"/>
          <w:lang w:eastAsia="zh-CN"/>
        </w:rPr>
        <w:t>，</w:t>
      </w:r>
      <w:r>
        <w:rPr>
          <w:rFonts w:hint="default" w:ascii="Times New Roman" w:hAnsi="Times New Roman" w:cs="Times New Roman"/>
          <w:color w:val="auto"/>
          <w:szCs w:val="32"/>
        </w:rPr>
        <w:t>在部门重点工作保障方面，绩效目标进一步明确和量化，能较完整、合理反映部门年度职责履行情况</w:t>
      </w:r>
      <w:r>
        <w:rPr>
          <w:rFonts w:hint="eastAsia" w:cs="Times New Roman"/>
          <w:color w:val="auto"/>
          <w:szCs w:val="32"/>
          <w:lang w:eastAsia="zh-CN"/>
        </w:rPr>
        <w:t>，</w:t>
      </w:r>
      <w:r>
        <w:rPr>
          <w:rFonts w:hint="default" w:ascii="Times New Roman" w:hAnsi="Times New Roman" w:eastAsia="仿宋_GB2312" w:cs="Times New Roman"/>
          <w:color w:val="auto"/>
          <w:sz w:val="32"/>
          <w:szCs w:val="32"/>
        </w:rPr>
        <w:t>从评价情况来看</w:t>
      </w:r>
      <w:r>
        <w:rPr>
          <w:rFonts w:hint="default" w:ascii="Times New Roman" w:hAnsi="Times New Roman" w:cs="Times New Roman"/>
          <w:color w:val="auto"/>
          <w:sz w:val="32"/>
          <w:szCs w:val="32"/>
          <w:lang w:eastAsia="zh-CN"/>
        </w:rPr>
        <w:t>，项目年初预算科学合理、项目资金使用规范、项目进度动态监控、项目绩效目标完成较好</w:t>
      </w:r>
      <w:r>
        <w:rPr>
          <w:rFonts w:hint="eastAsia" w:ascii="Times New Roman" w:hAnsi="Times New Roman" w:cs="Times New Roman"/>
          <w:color w:val="auto"/>
          <w:sz w:val="32"/>
          <w:szCs w:val="32"/>
          <w:lang w:eastAsia="zh-CN"/>
        </w:rPr>
        <w:t>。</w:t>
      </w:r>
      <w:r>
        <w:rPr>
          <w:rFonts w:hint="eastAsia" w:ascii="仿宋_GB2312" w:hAnsi="仿宋_GB2312" w:eastAsia="仿宋_GB2312" w:cs="仿宋_GB2312"/>
          <w:color w:val="auto"/>
          <w:sz w:val="32"/>
          <w:szCs w:val="32"/>
          <w:highlight w:val="none"/>
        </w:rPr>
        <w:t>市妇联幸福家庭再提升行动专项预算项目绩效自评得分为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分，绩效自评综述：牵头开展2023年“向幸福出发——寻找最美家庭 传承家训家风”家庭文明创建活动，举办了“5·15”国际家庭日暨“成渝地区双城经济圈建设·家家幸福安康工程”——新时代家庭教育学习活动，举办辩论赛6场，深入贯彻家庭教育促进法，打造家庭亲子阅读体验基地，线上线下开展家庭教育讲座</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市妇联妇儿工委专项预算项目绩效自评得分为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制作自贡市新两纲宣传视频，开展全市实施妇儿两纲工作培训及表扬，开展年度“两纲”统计监测工作，积极开展“春蕾计划”结对助学活动。落实市妇联、市教体局、市民政局“三方”签订的《自贡市“家校社”协同育人战略合作框架协议》，努力推动构建自贡市家庭学校社会协同育人新格局</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市妇联强基固本再提升行动专项预算项目绩效自评得分为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一是认真做好了中国妇女十三大2名代表和四川妇女十四大26名代表推荐工作，同时做好了省妇代会期间联络服务等工作。二是做好自贡妇女十四大组织组工作，收集全市代表登记表和简历等350余份，起草各类妇代会人员名册32份和资格审查、人事说明等15份，为自贡妇女十四大代表大会选举工作打下了坚实基础。三是持续推动妇联组织建设改革提质增效。出台《2023年新组织等新领域党建带妇建工作实施方案》，在两新组织及新就业群体等领域建立妇女组织1865个，完成妇女组织覆盖率达100%。草拟《机关事业单位妇委会工作手册》《两新组织暨新业态新就业群体妇联工作手册》，引领全市983个基层“妇女之家”、78个市级“妇女之家”、312个“妇女微家”、9个新建示范“妇女之家”实现资源整合和工作联动</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市妇联综合素质再提升行动专项预算项目绩效自评得分为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2023年持续实施“基层妇联领头雁培训计划”，举办自贡市两新组织等新领域妇联组织示范培训班等60场次，赋能四级妇女干部5000余人。以召开优秀女性人才座谈会、举办女企业家协会30周年庆典型等自贡市纪念“三八”国际妇女节系列活动为契机，切实提升妇联干部服务服务妇女儿童和家庭的能力，持续有效推动妇女儿童事业发展</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市妇联维权关爱再提升行动专项预算项目绩效自评得分为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市妇联巾帼建功再提升行动专项预算项目绩效自评得分为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分，绩效自评综述：深化“巾帼建功”品牌活动，举办巾帼文明岗培训班，推荐巾帼文明先进集体和个人，联合举办招聘会，激励各行各业妇女立足本职岗位建功立业</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市妇联乡村振兴再提升行动专项预算项目绩效自评得分为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分，绩效自评综述：在重要节点开展慰问活动，评选第三届自贡市“乡村女能人”，编印自贡市乡村女能人宣传书籍，成功申报省级妇女居家灵活就业基地1个</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四川省妇女儿童事业发展专项资金专项预算项目绩效自评得分为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分，绩效自评综述：打造了2个妇女儿童维权站，建设文明实践巾帼志愿阳光站阵地1个，打造1个反家暴示范点，建立1支婚姻家庭矛盾调解队伍。创建家庭亲子阅读联盟，并常态化开展特色活动。绩效自评</w:t>
      </w:r>
      <w:r>
        <w:rPr>
          <w:rFonts w:hint="eastAsia" w:ascii="仿宋_GB2312" w:hAnsi="仿宋_GB2312" w:cs="仿宋_GB2312"/>
          <w:color w:val="auto"/>
          <w:sz w:val="32"/>
          <w:szCs w:val="32"/>
          <w:highlight w:val="none"/>
          <w:lang w:eastAsia="zh-CN"/>
        </w:rPr>
        <w:t>表</w:t>
      </w:r>
      <w:r>
        <w:rPr>
          <w:rFonts w:hint="eastAsia" w:ascii="仿宋_GB2312" w:hAnsi="仿宋_GB2312" w:eastAsia="仿宋_GB2312" w:cs="仿宋_GB2312"/>
          <w:color w:val="auto"/>
          <w:sz w:val="32"/>
          <w:szCs w:val="32"/>
          <w:highlight w:val="none"/>
        </w:rPr>
        <w:t>详见附件。</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pPr>
    </w:p>
    <w:p>
      <w:pPr>
        <w:rPr>
          <w:rStyle w:val="17"/>
          <w:rFonts w:ascii="黑体" w:hAnsi="黑体" w:eastAsia="黑体"/>
          <w:b w:val="0"/>
        </w:rPr>
      </w:pPr>
      <w:bookmarkStart w:id="58" w:name="_Toc15396613"/>
      <w:bookmarkStart w:id="59" w:name="_Toc15377225"/>
      <w:r>
        <w:rPr>
          <w:rFonts w:hint="eastAsia" w:ascii="黑体" w:hAnsi="黑体" w:eastAsia="黑体"/>
          <w:color w:val="000000"/>
          <w:sz w:val="44"/>
          <w:szCs w:val="44"/>
        </w:rPr>
        <w:br w:type="page"/>
      </w:r>
    </w:p>
    <w:p>
      <w:pPr>
        <w:numPr>
          <w:ilvl w:val="0"/>
          <w:numId w:val="3"/>
        </w:numPr>
        <w:spacing w:line="600" w:lineRule="exact"/>
        <w:ind w:firstLine="660" w:firstLineChars="150"/>
        <w:jc w:val="center"/>
        <w:outlineLvl w:val="0"/>
        <w:rPr>
          <w:rStyle w:val="17"/>
          <w:rFonts w:ascii="黑体" w:hAnsi="黑体" w:eastAsia="黑体"/>
          <w:b w:val="0"/>
        </w:rPr>
      </w:pPr>
      <w:bookmarkStart w:id="60" w:name="_Toc19818"/>
      <w:r>
        <w:rPr>
          <w:rFonts w:hint="eastAsia" w:ascii="黑体" w:hAnsi="黑体" w:eastAsia="黑体"/>
          <w:color w:val="000000"/>
          <w:sz w:val="44"/>
          <w:szCs w:val="44"/>
        </w:rPr>
        <w:t>名</w:t>
      </w:r>
      <w:r>
        <w:rPr>
          <w:rStyle w:val="17"/>
          <w:rFonts w:hint="eastAsia" w:ascii="黑体" w:hAnsi="黑体" w:eastAsia="黑体"/>
          <w:b w:val="0"/>
        </w:rPr>
        <w:t>词解释</w:t>
      </w:r>
      <w:bookmarkEnd w:id="58"/>
      <w:bookmarkEnd w:id="59"/>
      <w:bookmarkEnd w:id="60"/>
    </w:p>
    <w:p>
      <w:pPr>
        <w:spacing w:line="600" w:lineRule="exact"/>
        <w:jc w:val="left"/>
        <w:rPr>
          <w:rFonts w:ascii="宋体"/>
          <w:b/>
          <w:color w:val="000000"/>
          <w:sz w:val="44"/>
          <w:szCs w:val="44"/>
        </w:rPr>
      </w:pPr>
    </w:p>
    <w:p>
      <w:pPr>
        <w:pStyle w:val="20"/>
        <w:spacing w:line="560" w:lineRule="exact"/>
        <w:ind w:firstLine="640" w:firstLineChars="200"/>
        <w:rPr>
          <w:rFonts w:ascii="仿宋_GB2312" w:eastAsia="仿宋_GB2312"/>
          <w:color w:val="auto"/>
          <w:sz w:val="32"/>
          <w:szCs w:val="32"/>
          <w:highlight w:val="none"/>
        </w:rPr>
      </w:pPr>
      <w:bookmarkStart w:id="6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bookmarkStart w:id="62" w:name="_Toc23450"/>
      <w:bookmarkStart w:id="63" w:name="_Toc15396614"/>
      <w:r>
        <w:rPr>
          <w:rFonts w:hint="eastAsia" w:ascii="仿宋_GB2312" w:hAnsi="Calibri" w:eastAsia="仿宋_GB2312" w:cs="仿宋"/>
          <w:color w:val="auto"/>
          <w:kern w:val="0"/>
          <w:sz w:val="32"/>
          <w:szCs w:val="32"/>
          <w:highlight w:val="none"/>
          <w:lang w:val="en-US" w:eastAsia="zh-CN" w:bidi="ar-SA"/>
        </w:rPr>
        <w:t>9.一般公共服务（类）群众团体事务（款）行政运行（项）: 指</w:t>
      </w:r>
      <w:r>
        <w:rPr>
          <w:rFonts w:hint="eastAsia" w:ascii="仿宋_GB2312"/>
          <w:color w:val="auto"/>
          <w:szCs w:val="32"/>
        </w:rPr>
        <w:t>自贡市妇女联合会</w:t>
      </w:r>
      <w:r>
        <w:rPr>
          <w:rFonts w:hint="eastAsia" w:ascii="仿宋_GB2312" w:hAnsi="Calibri" w:cs="仿宋"/>
          <w:bCs/>
          <w:color w:val="auto"/>
          <w:kern w:val="0"/>
          <w:szCs w:val="32"/>
        </w:rPr>
        <w:t>用于保障机构正常运行、开展正常工作的基本支出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10.一般公共服务（类）群众团体事务（款）一般行政管理事务（项）: 指</w:t>
      </w:r>
      <w:r>
        <w:rPr>
          <w:rFonts w:hint="eastAsia" w:ascii="仿宋_GB2312" w:hAnsi="Calibri" w:cs="仿宋"/>
          <w:bCs/>
          <w:color w:val="auto"/>
          <w:kern w:val="0"/>
          <w:szCs w:val="32"/>
        </w:rPr>
        <w:t>市级财政拨付</w:t>
      </w:r>
      <w:r>
        <w:rPr>
          <w:rFonts w:hint="eastAsia" w:ascii="仿宋_GB2312"/>
          <w:color w:val="auto"/>
          <w:szCs w:val="32"/>
        </w:rPr>
        <w:t>自贡市妇女联合会</w:t>
      </w:r>
      <w:r>
        <w:rPr>
          <w:rFonts w:hint="eastAsia" w:ascii="仿宋_GB2312" w:hAnsi="Calibri" w:cs="仿宋"/>
          <w:bCs/>
          <w:color w:val="auto"/>
          <w:kern w:val="0"/>
          <w:szCs w:val="32"/>
        </w:rPr>
        <w:t>未单独设置项级科目的其他项目支出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11</w:t>
      </w:r>
      <w:r>
        <w:rPr>
          <w:rFonts w:hint="eastAsia" w:ascii="仿宋_GB2312" w:hAnsi="Calibri" w:eastAsia="仿宋_GB2312" w:cs="仿宋"/>
          <w:color w:val="auto"/>
          <w:kern w:val="0"/>
          <w:sz w:val="32"/>
          <w:szCs w:val="32"/>
          <w:highlight w:val="none"/>
          <w:lang w:val="en-US" w:eastAsia="zh-CN" w:bidi="ar-SA"/>
        </w:rPr>
        <w:t>.一般公共服务（类）群众团体事务（款）其他群众团体事务支出（项）:</w:t>
      </w:r>
      <w:r>
        <w:rPr>
          <w:rFonts w:hint="eastAsia" w:ascii="仿宋_GB2312" w:hAnsi="Calibri" w:cs="仿宋"/>
          <w:bCs/>
          <w:color w:val="auto"/>
          <w:kern w:val="0"/>
          <w:szCs w:val="32"/>
        </w:rPr>
        <w:t>指省级财政拨付</w:t>
      </w:r>
      <w:r>
        <w:rPr>
          <w:rFonts w:hint="eastAsia" w:ascii="仿宋_GB2312"/>
          <w:color w:val="auto"/>
          <w:szCs w:val="32"/>
        </w:rPr>
        <w:t>自贡市妇女联合会其他</w:t>
      </w:r>
      <w:r>
        <w:rPr>
          <w:rFonts w:hint="eastAsia" w:ascii="仿宋_GB2312" w:hAnsi="Calibri" w:cs="仿宋"/>
          <w:bCs/>
          <w:color w:val="auto"/>
          <w:kern w:val="0"/>
          <w:szCs w:val="32"/>
        </w:rPr>
        <w:t>用于群众团体事务方面的支出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12</w:t>
      </w:r>
      <w:r>
        <w:rPr>
          <w:rFonts w:hint="eastAsia" w:ascii="仿宋_GB2312" w:hAnsi="Calibri" w:eastAsia="仿宋_GB2312" w:cs="仿宋"/>
          <w:color w:val="auto"/>
          <w:kern w:val="0"/>
          <w:sz w:val="32"/>
          <w:szCs w:val="32"/>
          <w:highlight w:val="none"/>
          <w:lang w:val="en-US" w:eastAsia="zh-CN" w:bidi="ar-SA"/>
        </w:rPr>
        <w:t>.社会保障和就业（类）行政事业单位养老支出（款）行政单位离退休（项）: 指反映行政单位（包括实行公务员管理的事业单位）开支的离退休经费。</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13</w:t>
      </w:r>
      <w:r>
        <w:rPr>
          <w:rFonts w:hint="eastAsia" w:ascii="仿宋_GB2312" w:hAnsi="Calibri" w:eastAsia="仿宋_GB2312" w:cs="仿宋"/>
          <w:color w:val="auto"/>
          <w:kern w:val="0"/>
          <w:sz w:val="32"/>
          <w:szCs w:val="32"/>
          <w:highlight w:val="none"/>
          <w:lang w:val="en-US" w:eastAsia="zh-CN" w:bidi="ar-SA"/>
        </w:rPr>
        <w:t>.社会保障和就业（类）行政事业单位养老支出（款）机关事业单位基本养老保险缴费支出（项）</w:t>
      </w:r>
      <w:r>
        <w:rPr>
          <w:rFonts w:hint="eastAsia" w:ascii="仿宋_GB2312" w:hAnsi="Calibri" w:cs="仿宋"/>
          <w:color w:val="auto"/>
          <w:kern w:val="0"/>
          <w:sz w:val="32"/>
          <w:szCs w:val="32"/>
          <w:highlight w:val="none"/>
          <w:lang w:val="en-US" w:eastAsia="zh-CN" w:bidi="ar-SA"/>
        </w:rPr>
        <w:t>：</w:t>
      </w:r>
      <w:r>
        <w:rPr>
          <w:rFonts w:hint="eastAsia" w:ascii="仿宋_GB2312" w:hAnsi="Calibri" w:cs="仿宋"/>
          <w:color w:val="auto"/>
          <w:kern w:val="0"/>
          <w:szCs w:val="32"/>
        </w:rPr>
        <w:t>指反映机关事业单位实施养老保险制度由单位缴纳的基本养老保险费支出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Cs w:val="32"/>
          <w:lang w:val="en-US" w:eastAsia="zh-CN"/>
        </w:rPr>
      </w:pPr>
      <w:r>
        <w:rPr>
          <w:rFonts w:hint="eastAsia" w:ascii="仿宋_GB2312" w:hAnsi="Calibri" w:cs="仿宋"/>
          <w:color w:val="auto"/>
          <w:kern w:val="0"/>
          <w:sz w:val="32"/>
          <w:szCs w:val="32"/>
          <w:highlight w:val="none"/>
          <w:lang w:val="en-US" w:eastAsia="zh-CN" w:bidi="ar-SA"/>
        </w:rPr>
        <w:t>14</w:t>
      </w:r>
      <w:r>
        <w:rPr>
          <w:rFonts w:hint="eastAsia" w:ascii="仿宋_GB2312" w:hAnsi="Calibri" w:eastAsia="仿宋_GB2312" w:cs="仿宋"/>
          <w:color w:val="auto"/>
          <w:kern w:val="0"/>
          <w:sz w:val="32"/>
          <w:szCs w:val="32"/>
          <w:highlight w:val="none"/>
          <w:lang w:val="en-US" w:eastAsia="zh-CN" w:bidi="ar-SA"/>
        </w:rPr>
        <w:t>.</w:t>
      </w:r>
      <w:r>
        <w:rPr>
          <w:rFonts w:hint="eastAsia" w:ascii="仿宋_GB2312" w:hAnsi="Calibri" w:cs="仿宋"/>
          <w:color w:val="auto"/>
          <w:kern w:val="0"/>
          <w:szCs w:val="32"/>
        </w:rPr>
        <w:t>社会保障和就业（类）</w:t>
      </w:r>
      <w:r>
        <w:rPr>
          <w:rFonts w:hint="eastAsia" w:ascii="仿宋_GB2312" w:hAnsi="Calibri" w:cs="仿宋"/>
          <w:color w:val="auto"/>
          <w:kern w:val="0"/>
          <w:szCs w:val="32"/>
          <w:lang w:eastAsia="zh-CN"/>
        </w:rPr>
        <w:t>行政事业单位养老支出</w:t>
      </w:r>
      <w:r>
        <w:rPr>
          <w:rFonts w:hint="eastAsia" w:ascii="仿宋_GB2312" w:hAnsi="Calibri" w:cs="仿宋"/>
          <w:color w:val="auto"/>
          <w:kern w:val="0"/>
          <w:szCs w:val="32"/>
        </w:rPr>
        <w:t>（款）机关事业单位职业年金缴费支出（项）</w:t>
      </w:r>
      <w:r>
        <w:rPr>
          <w:rFonts w:hint="eastAsia" w:ascii="仿宋_GB2312" w:hAnsi="Calibri" w:cs="仿宋"/>
          <w:color w:val="auto"/>
          <w:kern w:val="0"/>
          <w:szCs w:val="32"/>
          <w:lang w:eastAsia="zh-CN"/>
        </w:rPr>
        <w:t>：</w:t>
      </w:r>
      <w:r>
        <w:rPr>
          <w:rFonts w:hint="eastAsia" w:ascii="仿宋_GB2312" w:hAnsi="Calibri" w:cs="仿宋"/>
          <w:color w:val="auto"/>
          <w:kern w:val="0"/>
          <w:szCs w:val="32"/>
        </w:rPr>
        <w:t>指反映机关事业单位实施养老保险制度由单位缴纳的职业年金支出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15.</w:t>
      </w:r>
      <w:r>
        <w:rPr>
          <w:rFonts w:hint="eastAsia" w:ascii="仿宋_GB2312" w:hAnsi="Calibri" w:eastAsia="仿宋_GB2312" w:cs="仿宋"/>
          <w:color w:val="auto"/>
          <w:kern w:val="0"/>
          <w:sz w:val="32"/>
          <w:szCs w:val="32"/>
          <w:highlight w:val="none"/>
          <w:lang w:val="en-US" w:eastAsia="zh-CN" w:bidi="ar-SA"/>
        </w:rPr>
        <w:t xml:space="preserve">社会保障和就业（类）抚恤（款）死亡抚恤（项）: </w:t>
      </w:r>
      <w:r>
        <w:rPr>
          <w:rFonts w:hint="eastAsia" w:ascii="仿宋_GB2312" w:hAnsi="Calibri" w:cs="仿宋"/>
          <w:color w:val="auto"/>
          <w:kern w:val="0"/>
          <w:sz w:val="32"/>
          <w:szCs w:val="32"/>
          <w:highlight w:val="none"/>
          <w:lang w:val="en-US" w:eastAsia="zh-CN" w:bidi="ar-SA"/>
        </w:rPr>
        <w:t>指</w:t>
      </w:r>
      <w:r>
        <w:rPr>
          <w:rFonts w:hint="eastAsia" w:ascii="仿宋_GB2312" w:hAnsi="Calibri" w:cs="仿宋"/>
          <w:bCs/>
          <w:color w:val="auto"/>
          <w:kern w:val="0"/>
          <w:szCs w:val="32"/>
        </w:rPr>
        <w:t>部门</w:t>
      </w:r>
      <w:r>
        <w:rPr>
          <w:rFonts w:hint="eastAsia" w:ascii="仿宋_GB2312" w:hAnsi="Calibri" w:cs="仿宋"/>
          <w:bCs/>
          <w:color w:val="auto"/>
          <w:kern w:val="0"/>
          <w:szCs w:val="32"/>
          <w:lang w:eastAsia="zh-CN"/>
        </w:rPr>
        <w:t>按规定用于病故人员家属的一次性抚恤金及丧葬补助费</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default" w:ascii="仿宋_GB2312" w:hAnsi="Calibri" w:eastAsia="仿宋_GB2312" w:cs="仿宋"/>
          <w:bCs/>
          <w:color w:val="auto"/>
          <w:kern w:val="0"/>
          <w:szCs w:val="32"/>
          <w:lang w:val="en-US" w:eastAsia="zh-CN"/>
        </w:rPr>
      </w:pPr>
      <w:r>
        <w:rPr>
          <w:rFonts w:hint="eastAsia" w:ascii="仿宋_GB2312" w:hAnsi="Calibri" w:cs="仿宋"/>
          <w:color w:val="auto"/>
          <w:kern w:val="0"/>
          <w:sz w:val="32"/>
          <w:szCs w:val="32"/>
          <w:highlight w:val="none"/>
          <w:lang w:val="en-US" w:eastAsia="zh-CN" w:bidi="ar-SA"/>
        </w:rPr>
        <w:t>16</w:t>
      </w:r>
      <w:r>
        <w:rPr>
          <w:rFonts w:hint="eastAsia" w:ascii="仿宋_GB2312" w:hAnsi="Calibri" w:eastAsia="仿宋_GB2312" w:cs="仿宋"/>
          <w:color w:val="auto"/>
          <w:kern w:val="0"/>
          <w:sz w:val="32"/>
          <w:szCs w:val="32"/>
          <w:highlight w:val="none"/>
          <w:lang w:val="en-US" w:eastAsia="zh-CN" w:bidi="ar-SA"/>
        </w:rPr>
        <w:t>.</w:t>
      </w:r>
      <w:r>
        <w:rPr>
          <w:rFonts w:hint="eastAsia" w:ascii="仿宋_GB2312" w:hAnsi="Calibri" w:cs="仿宋"/>
          <w:bCs/>
          <w:color w:val="auto"/>
          <w:kern w:val="0"/>
          <w:szCs w:val="32"/>
          <w:lang w:eastAsia="zh-CN"/>
        </w:rPr>
        <w:t>卫生健康（类）公共卫生（款）重大公共卫生服务（项）:</w:t>
      </w:r>
      <w:r>
        <w:rPr>
          <w:rFonts w:hint="eastAsia" w:ascii="仿宋_GB2312" w:hAnsi="Calibri" w:cs="仿宋"/>
          <w:color w:val="auto"/>
          <w:kern w:val="0"/>
          <w:szCs w:val="32"/>
        </w:rPr>
        <w:t>指反映财政部门安排的</w:t>
      </w:r>
      <w:r>
        <w:rPr>
          <w:rFonts w:hint="eastAsia" w:ascii="仿宋_GB2312" w:hAnsi="Calibri" w:cs="仿宋"/>
          <w:color w:val="auto"/>
          <w:kern w:val="0"/>
          <w:szCs w:val="32"/>
          <w:lang w:val="en-US" w:eastAsia="zh-CN"/>
        </w:rPr>
        <w:t>重大公共卫生服务支出。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17.</w:t>
      </w:r>
      <w:r>
        <w:rPr>
          <w:rFonts w:hint="eastAsia" w:ascii="仿宋_GB2312" w:hAnsi="Calibri" w:eastAsia="仿宋_GB2312" w:cs="仿宋"/>
          <w:color w:val="auto"/>
          <w:kern w:val="0"/>
          <w:sz w:val="32"/>
          <w:szCs w:val="32"/>
          <w:highlight w:val="none"/>
          <w:lang w:val="en-US" w:eastAsia="zh-CN" w:bidi="ar-SA"/>
        </w:rPr>
        <w:t>卫生健康（类）行政事业单位医疗（款）行政单位医疗（项）:</w:t>
      </w:r>
      <w:r>
        <w:rPr>
          <w:rFonts w:hint="eastAsia" w:ascii="仿宋_GB2312" w:hAnsi="Calibri" w:cs="仿宋"/>
          <w:color w:val="auto"/>
          <w:kern w:val="0"/>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18</w:t>
      </w:r>
      <w:r>
        <w:rPr>
          <w:rFonts w:hint="eastAsia" w:ascii="仿宋_GB2312" w:hAnsi="Calibri" w:eastAsia="仿宋_GB2312" w:cs="仿宋"/>
          <w:color w:val="auto"/>
          <w:kern w:val="0"/>
          <w:sz w:val="32"/>
          <w:szCs w:val="32"/>
          <w:highlight w:val="none"/>
          <w:lang w:val="en-US" w:eastAsia="zh-CN" w:bidi="ar-SA"/>
        </w:rPr>
        <w:t>.卫生健康（类）行政事业单位医疗（款）公务员医疗补助（项）:</w:t>
      </w:r>
      <w:r>
        <w:rPr>
          <w:rFonts w:hint="eastAsia" w:ascii="仿宋_GB2312" w:hAnsi="Calibri" w:cs="仿宋"/>
          <w:color w:val="auto"/>
          <w:kern w:val="0"/>
          <w:szCs w:val="32"/>
        </w:rPr>
        <w:t>指反映财政部门安排的公务员医疗补助经费</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19</w:t>
      </w:r>
      <w:r>
        <w:rPr>
          <w:rFonts w:hint="eastAsia" w:ascii="仿宋_GB2312" w:hAnsi="Calibri" w:eastAsia="仿宋_GB2312" w:cs="仿宋"/>
          <w:color w:val="auto"/>
          <w:kern w:val="0"/>
          <w:sz w:val="32"/>
          <w:szCs w:val="32"/>
          <w:highlight w:val="none"/>
          <w:lang w:val="en-US" w:eastAsia="zh-CN" w:bidi="ar-SA"/>
        </w:rPr>
        <w:t>.住房保障支出（类）住房改革支出（款）住房公积金（项）:</w:t>
      </w:r>
      <w:r>
        <w:rPr>
          <w:rFonts w:hint="default" w:ascii="Times New Roman" w:hAnsi="Times New Roman" w:cs="Times New Roman"/>
          <w:color w:val="auto"/>
          <w:szCs w:val="32"/>
        </w:rPr>
        <w:t>指</w:t>
      </w:r>
      <w:r>
        <w:rPr>
          <w:rFonts w:hint="eastAsia" w:cs="Times New Roman"/>
          <w:color w:val="auto"/>
          <w:szCs w:val="32"/>
          <w:lang w:val="en-US" w:eastAsia="zh-CN"/>
        </w:rPr>
        <w:t>反映行政事业单位按人力资源和社会保障部、财政部规定的基本工资和津贴补贴以及规定比例为职工缴纳的住房公积金</w:t>
      </w:r>
      <w:r>
        <w:rPr>
          <w:rFonts w:hint="eastAsia" w:ascii="仿宋_GB2312" w:hAnsi="Calibri" w:eastAsia="仿宋_GB2312" w:cs="仿宋"/>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auto"/>
          <w:sz w:val="32"/>
          <w:szCs w:val="32"/>
          <w:highlight w:val="none"/>
        </w:rPr>
      </w:pPr>
      <w:r>
        <w:rPr>
          <w:rFonts w:hint="eastAsia" w:ascii="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color w:val="auto"/>
          <w:sz w:val="44"/>
          <w:szCs w:val="44"/>
        </w:rPr>
        <w:br w:type="page"/>
      </w: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62"/>
      <w:bookmarkEnd w:id="63"/>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topLinePunct w:val="0"/>
        <w:autoSpaceDE/>
        <w:autoSpaceDN/>
        <w:bidi w:val="0"/>
        <w:spacing w:line="590" w:lineRule="exact"/>
        <w:ind w:firstLine="2640" w:firstLineChars="600"/>
        <w:textAlignment w:val="auto"/>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自贡市妇女联合会</w:t>
      </w:r>
    </w:p>
    <w:p>
      <w:pPr>
        <w:keepNext w:val="0"/>
        <w:keepLines w:val="0"/>
        <w:pageBreakBefore w:val="0"/>
        <w:widowControl/>
        <w:kinsoku/>
        <w:wordWrap/>
        <w:topLinePunct w:val="0"/>
        <w:autoSpaceDE/>
        <w:autoSpaceDN/>
        <w:bidi w:val="0"/>
        <w:spacing w:line="590" w:lineRule="exact"/>
        <w:jc w:val="center"/>
        <w:textAlignment w:val="auto"/>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lang w:eastAsia="zh-CN"/>
        </w:rPr>
        <w:t>关于</w:t>
      </w:r>
      <w:r>
        <w:rPr>
          <w:rFonts w:hint="default" w:ascii="Times New Roman" w:hAnsi="Times New Roman" w:eastAsia="方正小标宋简体" w:cs="Times New Roman"/>
          <w:sz w:val="44"/>
          <w:szCs w:val="44"/>
          <w:highlight w:val="none"/>
          <w:shd w:val="clear" w:color="auto" w:fill="FFFFFF"/>
        </w:rPr>
        <w:t>20</w:t>
      </w:r>
      <w:r>
        <w:rPr>
          <w:rFonts w:hint="default" w:ascii="Times New Roman" w:hAnsi="Times New Roman" w:eastAsia="方正小标宋简体" w:cs="Times New Roman"/>
          <w:sz w:val="44"/>
          <w:szCs w:val="44"/>
          <w:highlight w:val="none"/>
          <w:shd w:val="clear" w:color="auto" w:fill="FFFFFF"/>
          <w:lang w:val="en-US" w:eastAsia="zh-CN"/>
        </w:rPr>
        <w:t>23</w:t>
      </w:r>
      <w:r>
        <w:rPr>
          <w:rFonts w:hint="default" w:ascii="Times New Roman" w:hAnsi="Times New Roman" w:eastAsia="方正小标宋简体" w:cs="Times New Roman"/>
          <w:sz w:val="44"/>
          <w:szCs w:val="44"/>
          <w:highlight w:val="none"/>
          <w:shd w:val="clear" w:color="auto" w:fill="FFFFFF"/>
        </w:rPr>
        <w:t>年度部门整体支出绩效报告</w:t>
      </w: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eastAsia="方正小标宋简体" w:cs="Times New Roman"/>
          <w:kern w:val="0"/>
          <w:sz w:val="44"/>
          <w:szCs w:val="44"/>
          <w:highlight w:val="none"/>
          <w:shd w:val="clear" w:color="auto" w:fill="FFFFFF"/>
        </w:rPr>
      </w:pP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eastAsia="黑体" w:cs="Times New Roman"/>
          <w:kern w:val="0"/>
          <w:szCs w:val="32"/>
          <w:highlight w:val="none"/>
          <w:shd w:val="clear" w:color="auto" w:fill="FFFFFF"/>
          <w:lang w:val="zh-CN"/>
        </w:rPr>
      </w:pPr>
      <w:r>
        <w:rPr>
          <w:rFonts w:hint="default" w:ascii="Times New Roman" w:hAnsi="Times New Roman" w:eastAsia="黑体" w:cs="Times New Roman"/>
          <w:kern w:val="0"/>
          <w:szCs w:val="32"/>
          <w:highlight w:val="none"/>
          <w:shd w:val="clear" w:color="auto" w:fill="FFFFFF"/>
        </w:rPr>
        <w:t>一、</w:t>
      </w:r>
      <w:r>
        <w:rPr>
          <w:rFonts w:hint="default" w:ascii="Times New Roman" w:hAnsi="Times New Roman" w:eastAsia="黑体" w:cs="Times New Roman"/>
          <w:kern w:val="0"/>
          <w:szCs w:val="32"/>
          <w:highlight w:val="none"/>
          <w:shd w:val="clear" w:color="auto" w:fill="FFFFFF"/>
          <w:lang w:val="zh-CN"/>
        </w:rPr>
        <w:t>单位概况</w:t>
      </w: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eastAsia="楷体_GB2312" w:cs="Times New Roman"/>
          <w:b/>
          <w:kern w:val="0"/>
          <w:szCs w:val="32"/>
          <w:highlight w:val="none"/>
          <w:shd w:val="clear" w:color="auto" w:fill="FFFFFF"/>
          <w:lang w:val="zh-CN"/>
        </w:rPr>
      </w:pPr>
      <w:r>
        <w:rPr>
          <w:rFonts w:hint="default" w:ascii="Times New Roman" w:hAnsi="Times New Roman" w:eastAsia="楷体_GB2312" w:cs="Times New Roman"/>
          <w:b/>
          <w:kern w:val="0"/>
          <w:szCs w:val="32"/>
          <w:highlight w:val="none"/>
          <w:shd w:val="clear" w:color="auto" w:fill="FFFFFF"/>
          <w:lang w:val="zh-CN"/>
        </w:rPr>
        <w:t>（一）机构组成</w:t>
      </w: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highlight w:val="none"/>
        </w:rPr>
        <w:t>自贡市妇联本级工作机构由“四部</w:t>
      </w:r>
      <w:r>
        <w:rPr>
          <w:rFonts w:hint="default" w:ascii="Times New Roman" w:hAnsi="Times New Roman" w:cs="Times New Roman"/>
          <w:highlight w:val="none"/>
          <w:lang w:eastAsia="zh-CN"/>
        </w:rPr>
        <w:t>一室</w:t>
      </w:r>
      <w:r>
        <w:rPr>
          <w:rFonts w:hint="default" w:ascii="Times New Roman" w:hAnsi="Times New Roman" w:cs="Times New Roman"/>
          <w:highlight w:val="none"/>
        </w:rPr>
        <w:t>”构成，即办公室、组织联络部、权益宣传部、妇女发展部、家庭</w:t>
      </w:r>
      <w:r>
        <w:rPr>
          <w:rFonts w:hint="eastAsia" w:cs="Times New Roman"/>
          <w:highlight w:val="none"/>
          <w:lang w:eastAsia="zh-CN"/>
        </w:rPr>
        <w:t>和</w:t>
      </w:r>
      <w:r>
        <w:rPr>
          <w:rFonts w:hint="default" w:ascii="Times New Roman" w:hAnsi="Times New Roman" w:cs="Times New Roman"/>
          <w:highlight w:val="none"/>
        </w:rPr>
        <w:t>儿童工作部</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市政府</w:t>
      </w:r>
      <w:r>
        <w:rPr>
          <w:rFonts w:hint="eastAsia" w:cs="Times New Roman"/>
          <w:color w:val="auto"/>
          <w:highlight w:val="none"/>
          <w:lang w:eastAsia="zh-CN"/>
        </w:rPr>
        <w:t>妇女儿童工作委员会办公室</w:t>
      </w:r>
      <w:r>
        <w:rPr>
          <w:rFonts w:hint="default" w:ascii="Times New Roman" w:hAnsi="Times New Roman" w:cs="Times New Roman"/>
          <w:color w:val="auto"/>
          <w:highlight w:val="none"/>
          <w:lang w:eastAsia="zh-CN"/>
        </w:rPr>
        <w:t>与家儿部合署办公</w:t>
      </w:r>
      <w:r>
        <w:rPr>
          <w:rFonts w:hint="default" w:ascii="Times New Roman" w:hAnsi="Times New Roman" w:cs="Times New Roman"/>
          <w:color w:val="auto"/>
          <w:highlight w:val="none"/>
        </w:rPr>
        <w:t>）。</w:t>
      </w:r>
    </w:p>
    <w:p>
      <w:pPr>
        <w:keepNext w:val="0"/>
        <w:keepLines w:val="0"/>
        <w:pageBreakBefore w:val="0"/>
        <w:widowControl/>
        <w:numPr>
          <w:ilvl w:val="0"/>
          <w:numId w:val="0"/>
        </w:numPr>
        <w:kinsoku/>
        <w:wordWrap/>
        <w:topLinePunct w:val="0"/>
        <w:autoSpaceDE/>
        <w:autoSpaceDN/>
        <w:bidi w:val="0"/>
        <w:adjustRightInd w:val="0"/>
        <w:snapToGrid w:val="0"/>
        <w:spacing w:line="590" w:lineRule="exact"/>
        <w:ind w:firstLine="642" w:firstLineChars="200"/>
        <w:jc w:val="left"/>
        <w:textAlignment w:val="auto"/>
        <w:rPr>
          <w:rFonts w:hint="default" w:ascii="Times New Roman" w:hAnsi="Times New Roman" w:eastAsia="楷体_GB2312" w:cs="Times New Roman"/>
          <w:b/>
          <w:kern w:val="0"/>
          <w:szCs w:val="32"/>
          <w:highlight w:val="none"/>
          <w:shd w:val="clear" w:color="auto" w:fill="FFFFFF"/>
          <w:lang w:val="zh-CN"/>
        </w:rPr>
      </w:pPr>
      <w:r>
        <w:rPr>
          <w:rFonts w:hint="eastAsia" w:ascii="Times New Roman" w:hAnsi="Times New Roman" w:eastAsia="楷体_GB2312" w:cs="Times New Roman"/>
          <w:b/>
          <w:kern w:val="0"/>
          <w:szCs w:val="32"/>
          <w:highlight w:val="none"/>
          <w:shd w:val="clear" w:color="auto" w:fill="FFFFFF"/>
          <w:lang w:val="zh-CN"/>
        </w:rPr>
        <w:t>（二）</w:t>
      </w:r>
      <w:r>
        <w:rPr>
          <w:rFonts w:hint="default" w:ascii="Times New Roman" w:hAnsi="Times New Roman" w:eastAsia="楷体_GB2312" w:cs="Times New Roman"/>
          <w:b/>
          <w:kern w:val="0"/>
          <w:szCs w:val="32"/>
          <w:highlight w:val="none"/>
          <w:shd w:val="clear" w:color="auto" w:fill="FFFFFF"/>
          <w:lang w:val="zh-CN"/>
        </w:rPr>
        <w:t>机构职能和人员概况</w:t>
      </w:r>
    </w:p>
    <w:p>
      <w:pPr>
        <w:keepNext w:val="0"/>
        <w:keepLines w:val="0"/>
        <w:pageBreakBefore w:val="0"/>
        <w:widowControl/>
        <w:numPr>
          <w:ilvl w:val="0"/>
          <w:numId w:val="0"/>
        </w:numPr>
        <w:kinsoku/>
        <w:wordWrap/>
        <w:topLinePunct w:val="0"/>
        <w:autoSpaceDE/>
        <w:autoSpaceDN/>
        <w:bidi w:val="0"/>
        <w:adjustRightInd w:val="0"/>
        <w:snapToGrid w:val="0"/>
        <w:spacing w:line="590" w:lineRule="exact"/>
        <w:ind w:firstLine="640" w:firstLineChars="200"/>
        <w:jc w:val="left"/>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highlight w:val="none"/>
        </w:rPr>
        <w:t>自贡市妇女联合会是中华全国妇女联合会的地方组织，是市委领导下的全市各族各界妇女的群众团体，是党和政府联系妇女群众的桥梁和纽带，是国家政权的重要社会支柱之一</w:t>
      </w:r>
      <w:r>
        <w:rPr>
          <w:rFonts w:hint="default" w:ascii="Times New Roman" w:hAnsi="Times New Roman" w:cs="Times New Roman"/>
          <w:kern w:val="0"/>
          <w:szCs w:val="32"/>
          <w:highlight w:val="none"/>
          <w:shd w:val="clear" w:color="auto" w:fill="FFFFFF"/>
          <w:lang w:val="zh-CN"/>
        </w:rPr>
        <w:t>，其主要工作任务是：</w:t>
      </w:r>
    </w:p>
    <w:p>
      <w:pPr>
        <w:keepNext w:val="0"/>
        <w:keepLines w:val="0"/>
        <w:pageBreakBefore w:val="0"/>
        <w:kinsoku/>
        <w:wordWrap/>
        <w:topLinePunct w:val="0"/>
        <w:autoSpaceDE/>
        <w:autoSpaceDN/>
        <w:bidi w:val="0"/>
        <w:spacing w:line="590" w:lineRule="exact"/>
        <w:ind w:firstLine="704" w:firstLineChars="220"/>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kern w:val="0"/>
          <w:szCs w:val="32"/>
          <w:highlight w:val="none"/>
          <w:shd w:val="clear" w:color="auto" w:fill="FFFFFF"/>
          <w:lang w:val="zh-CN"/>
        </w:rPr>
        <w:t>1.根据党的中心任务，指导各级妇联依据《中华全国妇女联合会章程》和妇女代表大会的决议，开展妇女儿童工作，联系团体会员，并给予业务指导。</w:t>
      </w:r>
    </w:p>
    <w:p>
      <w:pPr>
        <w:keepNext w:val="0"/>
        <w:keepLines w:val="0"/>
        <w:pageBreakBefore w:val="0"/>
        <w:kinsoku/>
        <w:wordWrap/>
        <w:topLinePunct w:val="0"/>
        <w:autoSpaceDE/>
        <w:autoSpaceDN/>
        <w:bidi w:val="0"/>
        <w:spacing w:line="590" w:lineRule="exact"/>
        <w:ind w:firstLine="704" w:firstLineChars="220"/>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kern w:val="0"/>
          <w:szCs w:val="32"/>
          <w:highlight w:val="none"/>
          <w:shd w:val="clear" w:color="auto" w:fill="FFFFFF"/>
          <w:lang w:val="zh-CN"/>
        </w:rPr>
        <w:t>2.调查研究我市妇女儿童的情况、问题，及时向市委、市政府反映，并提出建议。</w:t>
      </w:r>
    </w:p>
    <w:p>
      <w:pPr>
        <w:keepNext w:val="0"/>
        <w:keepLines w:val="0"/>
        <w:pageBreakBefore w:val="0"/>
        <w:kinsoku/>
        <w:wordWrap/>
        <w:topLinePunct w:val="0"/>
        <w:autoSpaceDE/>
        <w:autoSpaceDN/>
        <w:bidi w:val="0"/>
        <w:spacing w:line="590" w:lineRule="exact"/>
        <w:ind w:firstLine="704" w:firstLineChars="220"/>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kern w:val="0"/>
          <w:szCs w:val="32"/>
          <w:highlight w:val="none"/>
          <w:shd w:val="clear" w:color="auto" w:fill="FFFFFF"/>
          <w:lang w:val="zh-CN"/>
        </w:rPr>
        <w:t>3.组织动员妇女投身改革开放和社会主义现代化建设，指导全市城镇妇女的“巾帼建功”活动。</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4.指导各级妇联的宣传舆论工作。教育、引导广大妇女增强自尊、自信、自立、自强的精神，表彰各行各业先进妇女；开展多层次妇女干部培训和妇女职业技术培训，全面提高妇女素质，促进妇女人才成长。</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5.代表妇女参与国家社会事务的民主管理、民主监督，积极向党委推荐优秀妇女干部，促进妇女参政；参与我市有关妇女儿童政策、规定的制定，维护妇女儿童的合法权益。</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6.为妇女儿童</w:t>
      </w:r>
      <w:r>
        <w:rPr>
          <w:rFonts w:hint="default" w:ascii="Times New Roman" w:hAnsi="Times New Roman" w:cs="Times New Roman"/>
          <w:color w:val="auto"/>
          <w:highlight w:val="none"/>
          <w:lang w:eastAsia="zh-CN"/>
        </w:rPr>
        <w:t>和家庭</w:t>
      </w:r>
      <w:r>
        <w:rPr>
          <w:rFonts w:hint="default" w:ascii="Times New Roman" w:hAnsi="Times New Roman" w:cs="Times New Roman"/>
          <w:color w:val="auto"/>
          <w:highlight w:val="none"/>
        </w:rPr>
        <w:t>服务，加强与社会各界的联系，协调和推动社会各界为妇女儿童</w:t>
      </w:r>
      <w:r>
        <w:rPr>
          <w:rFonts w:hint="default" w:ascii="Times New Roman" w:hAnsi="Times New Roman" w:cs="Times New Roman"/>
          <w:color w:val="auto"/>
          <w:highlight w:val="none"/>
          <w:lang w:eastAsia="zh-CN"/>
        </w:rPr>
        <w:t>和家庭</w:t>
      </w:r>
      <w:r>
        <w:rPr>
          <w:rFonts w:hint="default" w:ascii="Times New Roman" w:hAnsi="Times New Roman" w:cs="Times New Roman"/>
          <w:highlight w:val="none"/>
        </w:rPr>
        <w:t>办实事、办好事。</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7.加强与各族各界妇女的联系，巩固妇女的大团结。</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8.承担市政府妇女儿童工作委员会日常工作。</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9.承办市委、市政府交办的其他事项。</w:t>
      </w:r>
    </w:p>
    <w:p>
      <w:pPr>
        <w:keepNext w:val="0"/>
        <w:keepLines w:val="0"/>
        <w:pageBreakBefore w:val="0"/>
        <w:kinsoku/>
        <w:wordWrap/>
        <w:topLinePunct w:val="0"/>
        <w:autoSpaceDE/>
        <w:autoSpaceDN/>
        <w:bidi w:val="0"/>
        <w:spacing w:line="59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我会机关现有核定编制数为14名，其中，行政编制13名，工勤岗位控制数1名。20</w:t>
      </w:r>
      <w:r>
        <w:rPr>
          <w:rFonts w:hint="default" w:ascii="Times New Roman" w:hAnsi="Times New Roman" w:cs="Times New Roman"/>
          <w:highlight w:val="none"/>
          <w:lang w:val="en-US" w:eastAsia="zh-CN"/>
        </w:rPr>
        <w:t>23</w:t>
      </w:r>
      <w:r>
        <w:rPr>
          <w:rFonts w:hint="default" w:ascii="Times New Roman" w:hAnsi="Times New Roman" w:cs="Times New Roman"/>
          <w:highlight w:val="none"/>
        </w:rPr>
        <w:t>年年末在职人员1</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人</w:t>
      </w:r>
      <w:r>
        <w:rPr>
          <w:rFonts w:hint="default" w:ascii="Times New Roman" w:hAnsi="Times New Roman" w:cs="Times New Roman"/>
          <w:highlight w:val="none"/>
          <w:lang w:eastAsia="zh-CN"/>
        </w:rPr>
        <w:t>（其中工勤</w:t>
      </w:r>
      <w:r>
        <w:rPr>
          <w:rFonts w:hint="default" w:ascii="Times New Roman" w:hAnsi="Times New Roman" w:cs="Times New Roman"/>
          <w:highlight w:val="none"/>
          <w:lang w:val="en-US" w:eastAsia="zh-CN"/>
        </w:rPr>
        <w:t>1名</w:t>
      </w:r>
      <w:r>
        <w:rPr>
          <w:rFonts w:hint="default" w:ascii="Times New Roman" w:hAnsi="Times New Roman" w:cs="Times New Roman"/>
          <w:highlight w:val="none"/>
          <w:lang w:eastAsia="zh-CN"/>
        </w:rPr>
        <w:t>）</w:t>
      </w:r>
      <w:r>
        <w:rPr>
          <w:rFonts w:hint="default" w:ascii="Times New Roman" w:hAnsi="Times New Roman" w:cs="Times New Roman"/>
          <w:highlight w:val="none"/>
        </w:rPr>
        <w:t>，20</w:t>
      </w:r>
      <w:r>
        <w:rPr>
          <w:rFonts w:hint="default" w:ascii="Times New Roman" w:hAnsi="Times New Roman" w:cs="Times New Roman"/>
          <w:highlight w:val="none"/>
          <w:lang w:val="en-US" w:eastAsia="zh-CN"/>
        </w:rPr>
        <w:t>2</w:t>
      </w:r>
      <w:r>
        <w:rPr>
          <w:rFonts w:hint="eastAsia" w:cs="Times New Roman"/>
          <w:highlight w:val="none"/>
          <w:lang w:val="en-US" w:eastAsia="zh-CN"/>
        </w:rPr>
        <w:t>3</w:t>
      </w:r>
      <w:r>
        <w:rPr>
          <w:rFonts w:hint="default" w:ascii="Times New Roman" w:hAnsi="Times New Roman" w:cs="Times New Roman"/>
          <w:highlight w:val="none"/>
        </w:rPr>
        <w:t>年末退休人员</w:t>
      </w:r>
      <w:r>
        <w:rPr>
          <w:rFonts w:hint="default" w:ascii="Times New Roman" w:hAnsi="Times New Roman" w:cs="Times New Roman"/>
          <w:highlight w:val="none"/>
          <w:lang w:val="en-US" w:eastAsia="zh-CN"/>
        </w:rPr>
        <w:t>23</w:t>
      </w:r>
      <w:r>
        <w:rPr>
          <w:rFonts w:hint="default" w:ascii="Times New Roman" w:hAnsi="Times New Roman" w:cs="Times New Roman"/>
          <w:highlight w:val="none"/>
        </w:rPr>
        <w:t>人（其中工人2人）。</w:t>
      </w:r>
    </w:p>
    <w:p>
      <w:pPr>
        <w:pStyle w:val="6"/>
        <w:keepNext w:val="0"/>
        <w:keepLines w:val="0"/>
        <w:pageBreakBefore w:val="0"/>
        <w:numPr>
          <w:ilvl w:val="0"/>
          <w:numId w:val="4"/>
        </w:numPr>
        <w:kinsoku/>
        <w:wordWrap/>
        <w:topLinePunct w:val="0"/>
        <w:autoSpaceDE/>
        <w:autoSpaceDN/>
        <w:bidi w:val="0"/>
        <w:spacing w:line="590" w:lineRule="exact"/>
        <w:ind w:firstLine="642" w:firstLineChars="200"/>
        <w:textAlignment w:val="auto"/>
        <w:rPr>
          <w:rFonts w:hint="default" w:ascii="Times New Roman" w:hAnsi="Times New Roman" w:eastAsia="楷体_GB2312" w:cs="Times New Roman"/>
          <w:b/>
          <w:kern w:val="0"/>
          <w:sz w:val="32"/>
          <w:szCs w:val="32"/>
          <w:highlight w:val="none"/>
          <w:shd w:val="clear" w:color="auto" w:fill="FFFFFF"/>
          <w:lang w:val="en-US" w:eastAsia="zh-CN" w:bidi="ar-SA"/>
        </w:rPr>
      </w:pPr>
      <w:r>
        <w:rPr>
          <w:rFonts w:hint="default" w:ascii="Times New Roman" w:hAnsi="Times New Roman" w:eastAsia="楷体_GB2312" w:cs="Times New Roman"/>
          <w:b/>
          <w:kern w:val="0"/>
          <w:sz w:val="32"/>
          <w:szCs w:val="32"/>
          <w:highlight w:val="none"/>
          <w:shd w:val="clear" w:color="auto" w:fill="FFFFFF"/>
          <w:lang w:val="zh-CN" w:eastAsia="zh-CN" w:bidi="ar-SA"/>
        </w:rPr>
        <w:t>年度主要工作任务</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Style w:val="22"/>
          <w:rFonts w:hint="default" w:ascii="Times New Roman" w:hAnsi="Times New Roman" w:cs="Times New Roman"/>
          <w:b/>
          <w:bCs/>
          <w:color w:val="000000"/>
          <w:szCs w:val="32"/>
          <w:highlight w:val="none"/>
          <w:lang w:val="en-US" w:eastAsia="zh-CN"/>
        </w:rPr>
      </w:pPr>
      <w:r>
        <w:rPr>
          <w:rStyle w:val="22"/>
          <w:rFonts w:hint="default" w:ascii="Times New Roman" w:hAnsi="Times New Roman" w:cs="Times New Roman"/>
          <w:b/>
          <w:bCs/>
          <w:color w:val="000000"/>
          <w:szCs w:val="32"/>
          <w:highlight w:val="none"/>
          <w:lang w:val="en-US" w:eastAsia="zh-CN"/>
        </w:rPr>
        <w:t>1.毫不动摇坚持党的领导，深入学习宣传贯彻党的二十大精神</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Style w:val="22"/>
          <w:rFonts w:hint="default" w:ascii="Times New Roman" w:hAnsi="Times New Roman" w:cs="Times New Roman"/>
          <w:color w:val="000000"/>
          <w:szCs w:val="32"/>
          <w:highlight w:val="none"/>
          <w:lang w:eastAsia="zh-CN"/>
        </w:rPr>
      </w:pPr>
      <w:r>
        <w:rPr>
          <w:rStyle w:val="22"/>
          <w:rFonts w:hint="default" w:ascii="Times New Roman" w:hAnsi="Times New Roman" w:cs="Times New Roman"/>
          <w:color w:val="000000"/>
          <w:szCs w:val="32"/>
          <w:highlight w:val="none"/>
          <w:lang w:val="en-US" w:eastAsia="zh-CN"/>
        </w:rPr>
        <w:t>把学习</w:t>
      </w:r>
      <w:r>
        <w:rPr>
          <w:rStyle w:val="22"/>
          <w:rFonts w:hint="default" w:ascii="Times New Roman" w:hAnsi="Times New Roman" w:cs="Times New Roman"/>
          <w:color w:val="000000"/>
          <w:szCs w:val="32"/>
          <w:highlight w:val="none"/>
          <w:lang w:eastAsia="zh-CN"/>
        </w:rPr>
        <w:t>宣传</w:t>
      </w:r>
      <w:r>
        <w:rPr>
          <w:rStyle w:val="22"/>
          <w:rFonts w:hint="default" w:ascii="Times New Roman" w:hAnsi="Times New Roman" w:cs="Times New Roman"/>
          <w:color w:val="000000"/>
          <w:szCs w:val="32"/>
          <w:highlight w:val="none"/>
          <w:lang w:val="en-US" w:eastAsia="zh-CN"/>
        </w:rPr>
        <w:t>贯彻党的二十大精神作为头等大事和首要政治任务，始终在思想上政治上行动上同以习近平同志为核心的党中央保持高度一致</w:t>
      </w:r>
      <w:r>
        <w:rPr>
          <w:rStyle w:val="22"/>
          <w:rFonts w:hint="default" w:ascii="Times New Roman" w:hAnsi="Times New Roman" w:cs="Times New Roman"/>
          <w:color w:val="000000"/>
          <w:szCs w:val="32"/>
          <w:highlight w:val="none"/>
          <w:lang w:eastAsia="zh-CN"/>
        </w:rPr>
        <w:t>。结合我会实际，</w:t>
      </w:r>
      <w:r>
        <w:rPr>
          <w:rStyle w:val="22"/>
          <w:rFonts w:hint="default" w:ascii="Times New Roman" w:hAnsi="Times New Roman" w:cs="Times New Roman"/>
          <w:color w:val="000000"/>
          <w:szCs w:val="32"/>
          <w:highlight w:val="none"/>
          <w:lang w:val="en-US" w:eastAsia="zh-CN"/>
        </w:rPr>
        <w:t>找准服务大局的切入点、结合点、着力点，做实引领服务联系工作，</w:t>
      </w:r>
      <w:r>
        <w:rPr>
          <w:rStyle w:val="22"/>
          <w:rFonts w:hint="default" w:ascii="Times New Roman" w:hAnsi="Times New Roman" w:cs="Times New Roman"/>
          <w:color w:val="000000"/>
          <w:szCs w:val="32"/>
          <w:highlight w:val="none"/>
          <w:lang w:eastAsia="zh-CN"/>
        </w:rPr>
        <w:t>把党的二十大精神真正融入到妇联未来工作的全过程、各方面。</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Style w:val="22"/>
          <w:rFonts w:hint="default" w:ascii="Times New Roman" w:hAnsi="Times New Roman" w:cs="Times New Roman"/>
          <w:b/>
          <w:bCs/>
          <w:color w:val="000000"/>
          <w:szCs w:val="32"/>
          <w:highlight w:val="none"/>
          <w:lang w:val="en-US" w:eastAsia="zh-CN"/>
        </w:rPr>
      </w:pPr>
      <w:r>
        <w:rPr>
          <w:rStyle w:val="22"/>
          <w:rFonts w:hint="default" w:ascii="Times New Roman" w:hAnsi="Times New Roman" w:cs="Times New Roman"/>
          <w:b/>
          <w:bCs/>
          <w:color w:val="000000"/>
          <w:szCs w:val="32"/>
          <w:highlight w:val="none"/>
          <w:lang w:val="en-US" w:eastAsia="zh-CN"/>
        </w:rPr>
        <w:t>2.以喜迎中国妇女十三大为契机，统筹服务中心大局各项工作</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Style w:val="22"/>
          <w:rFonts w:hint="default" w:ascii="Times New Roman" w:hAnsi="Times New Roman" w:cs="Times New Roman"/>
          <w:color w:val="000000"/>
          <w:szCs w:val="32"/>
          <w:highlight w:val="none"/>
          <w:lang w:eastAsia="zh-CN"/>
        </w:rPr>
      </w:pPr>
      <w:r>
        <w:rPr>
          <w:rStyle w:val="22"/>
          <w:rFonts w:hint="default" w:ascii="Times New Roman" w:hAnsi="Times New Roman" w:cs="Times New Roman"/>
          <w:color w:val="000000"/>
          <w:szCs w:val="32"/>
          <w:highlight w:val="none"/>
          <w:lang w:eastAsia="zh-CN"/>
        </w:rPr>
        <w:t>喜迎</w:t>
      </w:r>
      <w:r>
        <w:rPr>
          <w:rStyle w:val="22"/>
          <w:rFonts w:hint="default" w:ascii="Times New Roman" w:hAnsi="Times New Roman" w:cs="Times New Roman"/>
          <w:color w:val="000000"/>
          <w:szCs w:val="32"/>
          <w:highlight w:val="none"/>
          <w:lang w:val="en-US" w:eastAsia="zh-CN"/>
        </w:rPr>
        <w:t>中国妇女十三大</w:t>
      </w:r>
      <w:r>
        <w:rPr>
          <w:rStyle w:val="22"/>
          <w:rFonts w:hint="default" w:ascii="Times New Roman" w:hAnsi="Times New Roman" w:cs="Times New Roman"/>
          <w:color w:val="000000"/>
          <w:szCs w:val="32"/>
          <w:highlight w:val="none"/>
          <w:lang w:eastAsia="zh-CN"/>
        </w:rPr>
        <w:t>、四川妇女十四大召开</w:t>
      </w:r>
      <w:r>
        <w:rPr>
          <w:rStyle w:val="22"/>
          <w:rFonts w:hint="default" w:ascii="Times New Roman" w:hAnsi="Times New Roman" w:cs="Times New Roman"/>
          <w:color w:val="000000"/>
          <w:szCs w:val="32"/>
          <w:highlight w:val="none"/>
          <w:lang w:val="en-US" w:eastAsia="zh-CN"/>
        </w:rPr>
        <w:t>，启动</w:t>
      </w:r>
      <w:r>
        <w:rPr>
          <w:rStyle w:val="22"/>
          <w:rFonts w:hint="default" w:ascii="Times New Roman" w:hAnsi="Times New Roman" w:cs="Times New Roman"/>
          <w:color w:val="000000"/>
          <w:szCs w:val="32"/>
          <w:highlight w:val="none"/>
          <w:lang w:eastAsia="zh-CN"/>
        </w:rPr>
        <w:t>自贡妇女十四大</w:t>
      </w:r>
      <w:r>
        <w:rPr>
          <w:rStyle w:val="22"/>
          <w:rFonts w:hint="default" w:ascii="Times New Roman" w:hAnsi="Times New Roman" w:cs="Times New Roman"/>
          <w:color w:val="000000"/>
          <w:szCs w:val="32"/>
          <w:highlight w:val="none"/>
          <w:lang w:val="en-US" w:eastAsia="zh-CN"/>
        </w:rPr>
        <w:t>各项筹备工作</w:t>
      </w:r>
      <w:r>
        <w:rPr>
          <w:rStyle w:val="22"/>
          <w:rFonts w:hint="default" w:ascii="Times New Roman" w:hAnsi="Times New Roman" w:cs="Times New Roman"/>
          <w:color w:val="000000"/>
          <w:szCs w:val="32"/>
          <w:highlight w:val="none"/>
          <w:lang w:eastAsia="zh-CN"/>
        </w:rPr>
        <w:t>，</w:t>
      </w:r>
      <w:r>
        <w:rPr>
          <w:rStyle w:val="22"/>
          <w:rFonts w:hint="default" w:ascii="Times New Roman" w:hAnsi="Times New Roman" w:cs="Times New Roman"/>
          <w:color w:val="000000"/>
          <w:szCs w:val="32"/>
          <w:highlight w:val="none"/>
          <w:lang w:val="en-US" w:eastAsia="zh-CN"/>
        </w:rPr>
        <w:t>认真落实“严、深、细、实”的作风要求，</w:t>
      </w:r>
      <w:r>
        <w:rPr>
          <w:rStyle w:val="22"/>
          <w:rFonts w:hint="default" w:ascii="Times New Roman" w:hAnsi="Times New Roman" w:cs="Times New Roman"/>
          <w:color w:val="000000"/>
          <w:szCs w:val="32"/>
          <w:highlight w:val="none"/>
          <w:lang w:eastAsia="zh-CN"/>
        </w:rPr>
        <w:t>及早谋划部署，做好</w:t>
      </w:r>
      <w:r>
        <w:rPr>
          <w:rStyle w:val="22"/>
          <w:rFonts w:hint="default" w:ascii="Times New Roman" w:hAnsi="Times New Roman" w:cs="Times New Roman"/>
          <w:color w:val="000000"/>
          <w:szCs w:val="32"/>
          <w:highlight w:val="none"/>
          <w:lang w:val="en-US" w:eastAsia="zh-CN"/>
        </w:rPr>
        <w:t>文件起草、组织选举、新闻宣传、会务、后勤保障等</w:t>
      </w:r>
      <w:r>
        <w:rPr>
          <w:rStyle w:val="22"/>
          <w:rFonts w:hint="default" w:ascii="Times New Roman" w:hAnsi="Times New Roman" w:cs="Times New Roman"/>
          <w:color w:val="000000"/>
          <w:szCs w:val="32"/>
          <w:highlight w:val="none"/>
          <w:lang w:eastAsia="zh-CN"/>
        </w:rPr>
        <w:t>各项</w:t>
      </w:r>
      <w:r>
        <w:rPr>
          <w:rStyle w:val="22"/>
          <w:rFonts w:hint="default" w:ascii="Times New Roman" w:hAnsi="Times New Roman" w:cs="Times New Roman"/>
          <w:color w:val="000000"/>
          <w:szCs w:val="32"/>
          <w:highlight w:val="none"/>
          <w:lang w:val="en-US" w:eastAsia="zh-CN"/>
        </w:rPr>
        <w:t>筹备工作</w:t>
      </w:r>
      <w:r>
        <w:rPr>
          <w:rStyle w:val="22"/>
          <w:rFonts w:hint="default" w:ascii="Times New Roman" w:hAnsi="Times New Roman" w:cs="Times New Roman"/>
          <w:color w:val="000000"/>
          <w:szCs w:val="32"/>
          <w:highlight w:val="none"/>
          <w:lang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Style w:val="22"/>
          <w:rFonts w:hint="default" w:ascii="Times New Roman" w:hAnsi="Times New Roman" w:cs="Times New Roman"/>
          <w:b/>
          <w:bCs/>
          <w:color w:val="000000"/>
          <w:szCs w:val="32"/>
          <w:highlight w:val="none"/>
          <w:lang w:val="en-US" w:eastAsia="zh-CN"/>
        </w:rPr>
      </w:pPr>
      <w:r>
        <w:rPr>
          <w:rStyle w:val="22"/>
          <w:rFonts w:hint="default" w:ascii="Times New Roman" w:hAnsi="Times New Roman" w:cs="Times New Roman"/>
          <w:b/>
          <w:bCs/>
          <w:color w:val="000000"/>
          <w:szCs w:val="32"/>
          <w:highlight w:val="none"/>
          <w:lang w:val="en-US" w:eastAsia="zh-CN"/>
        </w:rPr>
        <w:t>3.持续推进“1136”工作思路，推动妇女事业高质量发展</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1</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实施综合素质再提升行动。开展</w:t>
      </w:r>
      <w:r>
        <w:rPr>
          <w:rFonts w:hint="default" w:ascii="Times New Roman" w:hAnsi="Times New Roman" w:eastAsia="仿宋_GB2312" w:cs="Times New Roman"/>
          <w:b w:val="0"/>
          <w:bCs w:val="0"/>
          <w:color w:val="000000"/>
          <w:sz w:val="32"/>
          <w:szCs w:val="32"/>
          <w:highlight w:val="none"/>
          <w:lang w:val="en-US" w:eastAsia="zh-CN"/>
        </w:rPr>
        <w:t>“巾帼心向党·奋进新征程”学习教育活动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组建“红梅花开”巾帼宣讲团，深入开展“百千万巾帼大宣讲”，以喜闻乐见的方式，让妇女姐妹听得懂、能领会、可落实。弘扬男女平等先进性别文化，关心关爱“女子足球队”发展，引导更多女孩锤炼意志、健全人格、健康成长。</w:t>
      </w:r>
      <w:r>
        <w:rPr>
          <w:rFonts w:hint="default" w:ascii="Times New Roman" w:hAnsi="Times New Roman" w:eastAsia="仿宋_GB2312" w:cs="Times New Roman"/>
          <w:b w:val="0"/>
          <w:bCs w:val="0"/>
          <w:color w:val="000000"/>
          <w:sz w:val="32"/>
          <w:szCs w:val="32"/>
          <w:highlight w:val="none"/>
          <w:lang w:eastAsia="zh-CN"/>
        </w:rPr>
        <w:t>用好自贡市妇联系统新媒体矩阵，选树一批“三八”红旗手、“最美家庭”等先进典型，用正向宣传激发正能量。</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2</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实施强基固本再提升行动</w:t>
      </w:r>
      <w:r>
        <w:rPr>
          <w:rFonts w:hint="default" w:ascii="Times New Roman" w:hAnsi="Times New Roman" w:eastAsia="仿宋_GB2312" w:cs="Times New Roman"/>
          <w:b w:val="0"/>
          <w:bCs w:val="0"/>
          <w:color w:val="000000"/>
          <w:sz w:val="32"/>
          <w:szCs w:val="32"/>
          <w:highlight w:val="none"/>
          <w:lang w:eastAsia="zh-CN"/>
        </w:rPr>
        <w:t>。深化改革“破难行动”，</w:t>
      </w:r>
      <w:r>
        <w:rPr>
          <w:rFonts w:hint="default" w:ascii="Times New Roman" w:hAnsi="Times New Roman" w:eastAsia="仿宋_GB2312" w:cs="Times New Roman"/>
          <w:b w:val="0"/>
          <w:bCs w:val="0"/>
          <w:color w:val="000000"/>
          <w:sz w:val="32"/>
          <w:szCs w:val="32"/>
          <w:highlight w:val="none"/>
          <w:lang w:val="en-US" w:eastAsia="zh-CN"/>
        </w:rPr>
        <w:t>持续推进两新组织暨新业态新就业群体妇联组织建设</w:t>
      </w:r>
      <w:r>
        <w:rPr>
          <w:rFonts w:hint="default" w:ascii="Times New Roman" w:hAnsi="Times New Roman" w:eastAsia="仿宋_GB2312" w:cs="Times New Roman"/>
          <w:b w:val="0"/>
          <w:bCs w:val="0"/>
          <w:color w:val="000000"/>
          <w:sz w:val="32"/>
          <w:szCs w:val="32"/>
          <w:highlight w:val="none"/>
          <w:lang w:eastAsia="zh-CN"/>
        </w:rPr>
        <w:t>和</w:t>
      </w:r>
      <w:r>
        <w:rPr>
          <w:rFonts w:hint="default" w:ascii="Times New Roman" w:hAnsi="Times New Roman" w:eastAsia="仿宋_GB2312" w:cs="Times New Roman"/>
          <w:b w:val="0"/>
          <w:bCs w:val="0"/>
          <w:sz w:val="32"/>
          <w:szCs w:val="32"/>
          <w:highlight w:val="none"/>
          <w:lang w:val="en-US" w:eastAsia="zh-CN"/>
        </w:rPr>
        <w:t>网上妇联建设</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巩固和</w:t>
      </w:r>
      <w:r>
        <w:rPr>
          <w:rFonts w:hint="default" w:ascii="Times New Roman" w:hAnsi="Times New Roman" w:eastAsia="仿宋_GB2312" w:cs="Times New Roman"/>
          <w:b w:val="0"/>
          <w:bCs w:val="0"/>
          <w:color w:val="000000"/>
          <w:sz w:val="32"/>
          <w:szCs w:val="32"/>
          <w:highlight w:val="none"/>
          <w:lang w:val="en-US" w:eastAsia="zh-CN"/>
        </w:rPr>
        <w:t>拓展村（社区）会改联、乡镇（街道）区域化改革成果</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推进机关事业单位妇委会建设。</w:t>
      </w:r>
      <w:r>
        <w:rPr>
          <w:rFonts w:hint="default" w:ascii="Times New Roman" w:hAnsi="Times New Roman" w:eastAsia="仿宋_GB2312" w:cs="Times New Roman"/>
          <w:b w:val="0"/>
          <w:bCs w:val="0"/>
          <w:color w:val="000000"/>
          <w:sz w:val="32"/>
          <w:szCs w:val="32"/>
          <w:highlight w:val="none"/>
        </w:rPr>
        <w:t>持续实施“基层妇联领头雁行动计</w:t>
      </w:r>
      <w:r>
        <w:rPr>
          <w:rFonts w:hint="default" w:ascii="Times New Roman" w:hAnsi="Times New Roman" w:eastAsia="仿宋_GB2312" w:cs="Times New Roman"/>
          <w:b w:val="0"/>
          <w:bCs w:val="0"/>
          <w:color w:val="000000"/>
          <w:sz w:val="32"/>
          <w:szCs w:val="32"/>
          <w:highlight w:val="none"/>
          <w:lang w:val="en-US" w:eastAsia="zh-CN"/>
        </w:rPr>
        <w:t>划”，</w:t>
      </w:r>
      <w:r>
        <w:rPr>
          <w:rFonts w:hint="default" w:ascii="Times New Roman" w:hAnsi="Times New Roman" w:eastAsia="仿宋_GB2312" w:cs="Times New Roman"/>
          <w:b w:val="0"/>
          <w:bCs w:val="0"/>
          <w:color w:val="000000"/>
          <w:sz w:val="32"/>
          <w:highlight w:val="none"/>
          <w:lang w:eastAsia="zh-CN"/>
        </w:rPr>
        <w:t>持续推动示范“妇女之家”“妇女微家”建设。更好发挥</w:t>
      </w:r>
      <w:r>
        <w:rPr>
          <w:rFonts w:hint="default" w:ascii="Times New Roman" w:hAnsi="Times New Roman" w:eastAsia="仿宋_GB2312" w:cs="Times New Roman"/>
          <w:b w:val="0"/>
          <w:bCs w:val="0"/>
          <w:color w:val="000000"/>
          <w:sz w:val="32"/>
          <w:highlight w:val="none"/>
          <w:lang w:val="en-US" w:eastAsia="zh-CN"/>
        </w:rPr>
        <w:t>“幸福使者公益平台”</w:t>
      </w:r>
      <w:r>
        <w:rPr>
          <w:rFonts w:hint="default" w:ascii="Times New Roman" w:hAnsi="Times New Roman" w:eastAsia="仿宋_GB2312" w:cs="Times New Roman"/>
          <w:b w:val="0"/>
          <w:bCs w:val="0"/>
          <w:color w:val="000000"/>
          <w:sz w:val="32"/>
          <w:highlight w:val="none"/>
          <w:lang w:eastAsia="zh-CN"/>
        </w:rPr>
        <w:t>作用，推动妇联工作平台化、项目化、社会化。</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3</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实施幸福家庭再提升行动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lang w:val="en-US" w:eastAsia="zh-CN"/>
        </w:rPr>
        <w:t>深入实施“家家幸福安康工程”</w:t>
      </w:r>
      <w:r>
        <w:rPr>
          <w:rFonts w:hint="default" w:ascii="Times New Roman" w:hAnsi="Times New Roman" w:eastAsia="仿宋_GB2312" w:cs="Times New Roman"/>
          <w:b w:val="0"/>
          <w:bCs w:val="0"/>
          <w:color w:val="000000"/>
          <w:sz w:val="32"/>
          <w:szCs w:val="32"/>
          <w:highlight w:val="none"/>
          <w:lang w:val="en-US" w:eastAsia="zh-CN"/>
        </w:rPr>
        <w:t>“盐都未来工程”，</w:t>
      </w:r>
      <w:r>
        <w:rPr>
          <w:rFonts w:hint="default" w:ascii="Times New Roman" w:hAnsi="Times New Roman" w:eastAsia="仿宋_GB2312" w:cs="Times New Roman"/>
          <w:b w:val="0"/>
          <w:bCs w:val="0"/>
          <w:color w:val="000000"/>
          <w:sz w:val="32"/>
          <w:highlight w:val="none"/>
          <w:lang w:eastAsia="zh-CN"/>
        </w:rPr>
        <w:t>实施</w:t>
      </w:r>
      <w:r>
        <w:rPr>
          <w:rFonts w:hint="default" w:ascii="Times New Roman" w:hAnsi="Times New Roman" w:eastAsia="仿宋_GB2312" w:cs="Times New Roman"/>
          <w:b w:val="0"/>
          <w:bCs w:val="0"/>
          <w:color w:val="000000"/>
          <w:sz w:val="32"/>
          <w:highlight w:val="none"/>
          <w:lang w:val="en-US" w:eastAsia="zh-CN"/>
        </w:rPr>
        <w:t>家庭教育五年</w:t>
      </w:r>
      <w:r>
        <w:rPr>
          <w:rFonts w:hint="default" w:ascii="Times New Roman" w:hAnsi="Times New Roman" w:eastAsia="仿宋_GB2312" w:cs="Times New Roman"/>
          <w:b w:val="0"/>
          <w:bCs w:val="0"/>
          <w:color w:val="000000"/>
          <w:sz w:val="32"/>
          <w:highlight w:val="none"/>
          <w:lang w:eastAsia="zh-CN"/>
        </w:rPr>
        <w:t>规划</w:t>
      </w:r>
      <w:r>
        <w:rPr>
          <w:rFonts w:hint="default" w:ascii="Times New Roman" w:hAnsi="Times New Roman" w:eastAsia="仿宋_GB2312" w:cs="Times New Roman"/>
          <w:b w:val="0"/>
          <w:bCs w:val="0"/>
          <w:color w:val="000000"/>
          <w:spacing w:val="-20"/>
          <w:sz w:val="32"/>
          <w:highlight w:val="none"/>
          <w:lang w:eastAsia="zh-CN"/>
        </w:rPr>
        <w:t>，</w:t>
      </w:r>
      <w:r>
        <w:rPr>
          <w:rFonts w:hint="default" w:ascii="Times New Roman" w:hAnsi="Times New Roman" w:eastAsia="仿宋_GB2312" w:cs="Times New Roman"/>
          <w:b w:val="0"/>
          <w:bCs w:val="0"/>
          <w:color w:val="000000"/>
          <w:sz w:val="32"/>
          <w:highlight w:val="none"/>
          <w:lang w:eastAsia="zh-CN"/>
        </w:rPr>
        <w:t>抓好新一轮妇女儿童发展纲要落细落实</w:t>
      </w:r>
      <w:r>
        <w:rPr>
          <w:rFonts w:hint="default" w:ascii="Times New Roman" w:hAnsi="Times New Roman" w:eastAsia="仿宋_GB2312" w:cs="Times New Roman"/>
          <w:b w:val="0"/>
          <w:bCs w:val="0"/>
          <w:color w:val="000000"/>
          <w:sz w:val="32"/>
          <w:highlight w:val="none"/>
          <w:lang w:val="en-US" w:eastAsia="zh-CN"/>
        </w:rPr>
        <w:t>。</w:t>
      </w:r>
      <w:r>
        <w:rPr>
          <w:rFonts w:hint="default" w:ascii="Times New Roman" w:hAnsi="Times New Roman" w:eastAsia="仿宋_GB2312" w:cs="Times New Roman"/>
          <w:b w:val="0"/>
          <w:bCs w:val="0"/>
          <w:color w:val="000000"/>
          <w:sz w:val="32"/>
          <w:highlight w:val="none"/>
          <w:lang w:eastAsia="zh-CN"/>
        </w:rPr>
        <w:t>全面贯彻《</w:t>
      </w:r>
      <w:r>
        <w:rPr>
          <w:rFonts w:hint="default" w:ascii="Times New Roman" w:hAnsi="Times New Roman" w:eastAsia="仿宋_GB2312" w:cs="Times New Roman"/>
          <w:b w:val="0"/>
          <w:bCs w:val="0"/>
          <w:color w:val="000000"/>
          <w:sz w:val="32"/>
          <w:highlight w:val="none"/>
          <w:lang w:val="en-US" w:eastAsia="zh-CN"/>
        </w:rPr>
        <w:t>家庭教育促进法</w:t>
      </w:r>
      <w:r>
        <w:rPr>
          <w:rFonts w:hint="default" w:ascii="Times New Roman" w:hAnsi="Times New Roman" w:eastAsia="仿宋_GB2312" w:cs="Times New Roman"/>
          <w:b w:val="0"/>
          <w:bCs w:val="0"/>
          <w:color w:val="000000"/>
          <w:sz w:val="32"/>
          <w:highlight w:val="none"/>
          <w:lang w:eastAsia="zh-CN"/>
        </w:rPr>
        <w:t>》，持续推进家庭教育指导服务体系建设，推动家校社协同育人。进一步完善自贡市家庭教育队伍，</w:t>
      </w:r>
      <w:r>
        <w:rPr>
          <w:rFonts w:hint="default" w:ascii="Times New Roman" w:hAnsi="Times New Roman" w:eastAsia="仿宋_GB2312" w:cs="Times New Roman"/>
          <w:b w:val="0"/>
          <w:bCs w:val="0"/>
          <w:color w:val="000000"/>
          <w:sz w:val="32"/>
          <w:highlight w:val="none"/>
          <w:lang w:val="en-US" w:eastAsia="zh-CN"/>
        </w:rPr>
        <w:t>打造全市家教家风实践基地，</w:t>
      </w:r>
      <w:r>
        <w:rPr>
          <w:rFonts w:hint="default" w:ascii="Times New Roman" w:hAnsi="Times New Roman" w:eastAsia="仿宋_GB2312" w:cs="Times New Roman"/>
          <w:b w:val="0"/>
          <w:bCs w:val="0"/>
          <w:color w:val="000000"/>
          <w:sz w:val="32"/>
          <w:highlight w:val="none"/>
          <w:lang w:eastAsia="zh-CN"/>
        </w:rPr>
        <w:t>依托</w:t>
      </w:r>
      <w:r>
        <w:rPr>
          <w:rFonts w:hint="default" w:ascii="Times New Roman" w:hAnsi="Times New Roman" w:eastAsia="仿宋_GB2312" w:cs="Times New Roman"/>
          <w:b w:val="0"/>
          <w:bCs w:val="0"/>
          <w:color w:val="000000"/>
          <w:sz w:val="32"/>
          <w:highlight w:val="none"/>
          <w:lang w:val="en-US" w:eastAsia="zh-CN"/>
        </w:rPr>
        <w:t>“幸福使者•母亲课堂”</w:t>
      </w:r>
      <w:r>
        <w:rPr>
          <w:rFonts w:hint="default" w:ascii="Times New Roman" w:hAnsi="Times New Roman" w:eastAsia="仿宋_GB2312" w:cs="Times New Roman"/>
          <w:b w:val="0"/>
          <w:bCs w:val="0"/>
          <w:color w:val="000000"/>
          <w:sz w:val="32"/>
          <w:highlight w:val="none"/>
          <w:lang w:eastAsia="zh-CN"/>
        </w:rPr>
        <w:t>等</w:t>
      </w:r>
      <w:r>
        <w:rPr>
          <w:rFonts w:hint="default" w:ascii="Times New Roman" w:hAnsi="Times New Roman" w:eastAsia="仿宋_GB2312" w:cs="Times New Roman"/>
          <w:b w:val="0"/>
          <w:bCs w:val="0"/>
          <w:color w:val="000000"/>
          <w:sz w:val="32"/>
          <w:highlight w:val="none"/>
          <w:lang w:val="en-US" w:eastAsia="zh-CN"/>
        </w:rPr>
        <w:t>开展亲子阅读活动</w:t>
      </w:r>
      <w:r>
        <w:rPr>
          <w:rFonts w:hint="default" w:ascii="Times New Roman" w:hAnsi="Times New Roman" w:eastAsia="仿宋_GB2312" w:cs="Times New Roman"/>
          <w:b w:val="0"/>
          <w:bCs w:val="0"/>
          <w:color w:val="000000"/>
          <w:sz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提升“最美”品牌响亮度，</w:t>
      </w:r>
      <w:r>
        <w:rPr>
          <w:rFonts w:hint="default" w:ascii="Times New Roman" w:hAnsi="Times New Roman" w:eastAsia="仿宋_GB2312" w:cs="Times New Roman"/>
          <w:b w:val="0"/>
          <w:bCs w:val="0"/>
          <w:color w:val="000000"/>
          <w:sz w:val="32"/>
          <w:highlight w:val="none"/>
          <w:lang w:eastAsia="zh-CN"/>
        </w:rPr>
        <w:t>把寻找</w:t>
      </w:r>
      <w:r>
        <w:rPr>
          <w:rFonts w:hint="default" w:ascii="Times New Roman" w:hAnsi="Times New Roman" w:eastAsia="仿宋_GB2312" w:cs="Times New Roman"/>
          <w:b w:val="0"/>
          <w:bCs w:val="0"/>
          <w:color w:val="000000"/>
          <w:kern w:val="0"/>
          <w:sz w:val="32"/>
          <w:szCs w:val="32"/>
          <w:highlight w:val="none"/>
          <w:lang w:val="en-US" w:eastAsia="zh-CN"/>
        </w:rPr>
        <w:t>“最美家庭”活动</w:t>
      </w:r>
      <w:r>
        <w:rPr>
          <w:rFonts w:hint="default" w:ascii="Times New Roman" w:hAnsi="Times New Roman" w:eastAsia="仿宋_GB2312" w:cs="Times New Roman"/>
          <w:b w:val="0"/>
          <w:bCs w:val="0"/>
          <w:color w:val="000000"/>
          <w:kern w:val="0"/>
          <w:sz w:val="32"/>
          <w:szCs w:val="32"/>
          <w:highlight w:val="none"/>
          <w:lang w:eastAsia="zh-CN"/>
        </w:rPr>
        <w:t>融入日常、常做常新。开展家庭家教家风主题宣传教育</w:t>
      </w:r>
      <w:r>
        <w:rPr>
          <w:rFonts w:hint="default" w:ascii="Times New Roman" w:hAnsi="Times New Roman" w:eastAsia="仿宋_GB2312" w:cs="Times New Roman"/>
          <w:b w:val="0"/>
          <w:bCs w:val="0"/>
          <w:color w:val="000000"/>
          <w:kern w:val="0"/>
          <w:sz w:val="32"/>
          <w:szCs w:val="32"/>
          <w:highlight w:val="none"/>
          <w:lang w:val="en-US" w:eastAsia="zh-CN"/>
        </w:rPr>
        <w:t>，</w:t>
      </w:r>
      <w:r>
        <w:rPr>
          <w:rFonts w:hint="default" w:ascii="Times New Roman" w:hAnsi="Times New Roman" w:eastAsia="仿宋_GB2312" w:cs="Times New Roman"/>
          <w:b w:val="0"/>
          <w:bCs w:val="0"/>
          <w:color w:val="000000"/>
          <w:sz w:val="32"/>
          <w:highlight w:val="none"/>
          <w:lang w:eastAsia="zh-CN"/>
        </w:rPr>
        <w:t>推动清廉家风建设，以清廉家风带动形成家庭文明新风尚。</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val="en-US"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4</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持续实施乡村振兴再提升行动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highlight w:val="none"/>
          <w:lang w:eastAsia="zh-CN"/>
        </w:rPr>
        <w:t>持续</w:t>
      </w:r>
      <w:r>
        <w:rPr>
          <w:rFonts w:hint="default" w:ascii="Times New Roman" w:hAnsi="Times New Roman" w:eastAsia="仿宋_GB2312" w:cs="Times New Roman"/>
          <w:b w:val="0"/>
          <w:bCs w:val="0"/>
          <w:color w:val="000000"/>
          <w:sz w:val="32"/>
          <w:highlight w:val="none"/>
          <w:lang w:val="en-US" w:eastAsia="zh-CN"/>
        </w:rPr>
        <w:t>实施“农村妇女素质提升千人计划”“双百计划”，巩固省级妇女居家灵活就业基地建设，发展“盐龙灯”等盐都特色妇女居家灵活就业基地</w:t>
      </w:r>
      <w:r>
        <w:rPr>
          <w:rFonts w:hint="default" w:ascii="Times New Roman" w:hAnsi="Times New Roman" w:eastAsia="仿宋_GB2312" w:cs="Times New Roman"/>
          <w:b w:val="0"/>
          <w:bCs w:val="0"/>
          <w:color w:val="000000"/>
          <w:sz w:val="32"/>
          <w:highlight w:val="none"/>
          <w:lang w:eastAsia="zh-CN"/>
        </w:rPr>
        <w:t>。巩固拓展脱贫攻坚成果，</w:t>
      </w:r>
      <w:r>
        <w:rPr>
          <w:rFonts w:hint="default" w:ascii="Times New Roman" w:hAnsi="Times New Roman" w:eastAsia="仿宋_GB2312" w:cs="Times New Roman"/>
          <w:b w:val="0"/>
          <w:bCs w:val="0"/>
          <w:color w:val="000000"/>
          <w:sz w:val="32"/>
          <w:szCs w:val="32"/>
          <w:highlight w:val="none"/>
        </w:rPr>
        <w:t>培养乡村振兴女性专业人才队伍</w:t>
      </w:r>
      <w:r>
        <w:rPr>
          <w:rFonts w:hint="default" w:ascii="Times New Roman" w:hAnsi="Times New Roman" w:eastAsia="仿宋_GB2312" w:cs="Times New Roman"/>
          <w:b w:val="0"/>
          <w:bCs w:val="0"/>
          <w:color w:val="000000"/>
          <w:sz w:val="32"/>
          <w:szCs w:val="32"/>
          <w:highlight w:val="none"/>
          <w:lang w:eastAsia="zh-CN"/>
        </w:rPr>
        <w:t>，继续</w:t>
      </w:r>
      <w:r>
        <w:rPr>
          <w:rFonts w:hint="default" w:ascii="Times New Roman" w:hAnsi="Times New Roman" w:eastAsia="仿宋_GB2312" w:cs="Times New Roman"/>
          <w:b w:val="0"/>
          <w:bCs w:val="0"/>
          <w:color w:val="000000"/>
          <w:sz w:val="32"/>
          <w:highlight w:val="none"/>
          <w:lang w:val="en-US" w:eastAsia="zh-CN"/>
        </w:rPr>
        <w:t>开展寻找乡村女能人系列活动</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highlight w:val="none"/>
          <w:lang w:val="en-US" w:eastAsia="zh-CN"/>
        </w:rPr>
        <w:t>积极落实“六稳”“六保”政策，联合人社等部门开展“春风行动”“让爱回家、守护成长”等活动</w:t>
      </w:r>
      <w:r>
        <w:rPr>
          <w:rFonts w:hint="default" w:ascii="Times New Roman" w:hAnsi="Times New Roman" w:eastAsia="仿宋_GB2312" w:cs="Times New Roman"/>
          <w:b w:val="0"/>
          <w:bCs w:val="0"/>
          <w:color w:val="000000"/>
          <w:sz w:val="32"/>
          <w:highlight w:val="none"/>
          <w:lang w:eastAsia="zh-CN"/>
        </w:rPr>
        <w:t>。</w:t>
      </w:r>
      <w:r>
        <w:rPr>
          <w:rFonts w:hint="default" w:ascii="Times New Roman" w:hAnsi="Times New Roman" w:eastAsia="仿宋_GB2312" w:cs="Times New Roman"/>
          <w:b w:val="0"/>
          <w:bCs w:val="0"/>
          <w:color w:val="000000"/>
          <w:sz w:val="32"/>
          <w:highlight w:val="none"/>
          <w:lang w:val="en-US" w:eastAsia="zh-CN"/>
        </w:rPr>
        <w:t>推动落实就业扶持政策，帮助更多女大学生、就业困难妇女、返乡创业女农民、网络女商户、脱贫妇女等创业就业。</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val="en-US"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5</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实施维权关爱再提升行动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highlight w:val="none"/>
          <w:lang w:val="en-US" w:eastAsia="zh-CN"/>
        </w:rPr>
        <w:t>落实</w:t>
      </w:r>
      <w:r>
        <w:rPr>
          <w:rFonts w:hint="default" w:ascii="Times New Roman" w:hAnsi="Times New Roman" w:eastAsia="仿宋_GB2312" w:cs="Times New Roman"/>
          <w:b w:val="0"/>
          <w:bCs w:val="0"/>
          <w:color w:val="000000"/>
          <w:sz w:val="32"/>
          <w:highlight w:val="none"/>
          <w:lang w:eastAsia="zh-CN"/>
        </w:rPr>
        <w:t>妇联系统开展</w:t>
      </w:r>
      <w:r>
        <w:rPr>
          <w:rFonts w:hint="default" w:ascii="Times New Roman" w:hAnsi="Times New Roman" w:eastAsia="仿宋_GB2312" w:cs="Times New Roman"/>
          <w:b w:val="0"/>
          <w:bCs w:val="0"/>
          <w:color w:val="000000"/>
          <w:sz w:val="32"/>
          <w:highlight w:val="none"/>
          <w:lang w:val="en-US" w:eastAsia="zh-CN"/>
        </w:rPr>
        <w:t>法治宣传教育第八个五年规划</w:t>
      </w:r>
      <w:r>
        <w:rPr>
          <w:rFonts w:hint="default" w:ascii="Times New Roman" w:hAnsi="Times New Roman" w:eastAsia="仿宋_GB2312" w:cs="Times New Roman"/>
          <w:b w:val="0"/>
          <w:bCs w:val="0"/>
          <w:color w:val="000000"/>
          <w:sz w:val="32"/>
          <w:highlight w:val="none"/>
          <w:lang w:eastAsia="zh-CN"/>
        </w:rPr>
        <w:t>，</w:t>
      </w:r>
      <w:r>
        <w:rPr>
          <w:rFonts w:hint="default" w:ascii="Times New Roman" w:hAnsi="Times New Roman" w:eastAsia="仿宋_GB2312" w:cs="Times New Roman"/>
          <w:b w:val="0"/>
          <w:bCs w:val="0"/>
          <w:color w:val="000000"/>
          <w:sz w:val="32"/>
          <w:highlight w:val="none"/>
          <w:lang w:val="en-US" w:eastAsia="zh-CN"/>
        </w:rPr>
        <w:t>常态化推进“建设法治自贡·巾帼在行动”，持续开展“巾帼维权大讲堂”进区县、进机关、进学校、进企业、进社区、进乡村“六进活动”，创新推进“国有法 家有爱 教有方”妇女维权宣传周活动。充分发挥109个“红梅花开</w:t>
      </w:r>
      <w:r>
        <w:rPr>
          <w:rFonts w:hint="default" w:ascii="Times New Roman" w:hAnsi="Times New Roman" w:eastAsia="汉仪大黑简" w:cs="Times New Roman"/>
          <w:b w:val="0"/>
          <w:bCs w:val="0"/>
          <w:color w:val="000000"/>
          <w:sz w:val="32"/>
          <w:highlight w:val="none"/>
          <w:lang w:val="en-US" w:eastAsia="zh-CN"/>
        </w:rPr>
        <w:t>·</w:t>
      </w:r>
      <w:r>
        <w:rPr>
          <w:rFonts w:hint="default" w:ascii="Times New Roman" w:hAnsi="Times New Roman" w:eastAsia="仿宋_GB2312" w:cs="Times New Roman"/>
          <w:b w:val="0"/>
          <w:bCs w:val="0"/>
          <w:color w:val="000000"/>
          <w:sz w:val="32"/>
          <w:highlight w:val="none"/>
          <w:lang w:val="en-US" w:eastAsia="zh-CN"/>
        </w:rPr>
        <w:t>和美之家”妇女儿童维权、家庭教育指导、婚姻家庭纠纷化解工作站点</w:t>
      </w:r>
      <w:r>
        <w:rPr>
          <w:rFonts w:hint="default" w:ascii="Times New Roman" w:hAnsi="Times New Roman" w:eastAsia="仿宋_GB2312" w:cs="Times New Roman"/>
          <w:b w:val="0"/>
          <w:bCs w:val="0"/>
          <w:color w:val="000000"/>
          <w:sz w:val="32"/>
          <w:highlight w:val="none"/>
          <w:lang w:eastAsia="zh-CN"/>
        </w:rPr>
        <w:t>作用，</w:t>
      </w:r>
      <w:r>
        <w:rPr>
          <w:rFonts w:hint="default" w:ascii="Times New Roman" w:hAnsi="Times New Roman" w:eastAsia="仿宋_GB2312" w:cs="Times New Roman"/>
          <w:b w:val="0"/>
          <w:bCs w:val="0"/>
          <w:sz w:val="32"/>
          <w:szCs w:val="32"/>
          <w:highlight w:val="none"/>
        </w:rPr>
        <w:t>深入推进</w:t>
      </w:r>
      <w:r>
        <w:rPr>
          <w:rFonts w:hint="default" w:ascii="Times New Roman" w:hAnsi="Times New Roman" w:eastAsia="仿宋_GB2312" w:cs="Times New Roman"/>
          <w:b w:val="0"/>
          <w:bCs w:val="0"/>
          <w:i w:val="0"/>
          <w:caps w:val="0"/>
          <w:spacing w:val="0"/>
          <w:w w:val="100"/>
          <w:sz w:val="32"/>
          <w:szCs w:val="32"/>
          <w:highlight w:val="none"/>
          <w:lang w:val="en-US" w:eastAsia="zh-CN"/>
        </w:rPr>
        <w:t>婚姻家事纠纷联调联动机制</w:t>
      </w:r>
      <w:r>
        <w:rPr>
          <w:rFonts w:hint="default" w:ascii="Times New Roman" w:hAnsi="Times New Roman" w:eastAsia="仿宋_GB2312" w:cs="Times New Roman"/>
          <w:b w:val="0"/>
          <w:bCs w:val="0"/>
          <w:i w:val="0"/>
          <w:caps w:val="0"/>
          <w:spacing w:val="0"/>
          <w:w w:val="100"/>
          <w:sz w:val="32"/>
          <w:szCs w:val="32"/>
          <w:highlight w:val="none"/>
          <w:lang w:eastAsia="zh-CN"/>
        </w:rPr>
        <w:t>、</w:t>
      </w:r>
      <w:r>
        <w:rPr>
          <w:rFonts w:hint="default" w:ascii="Times New Roman" w:hAnsi="Times New Roman" w:eastAsia="仿宋_GB2312" w:cs="Times New Roman"/>
          <w:b w:val="0"/>
          <w:bCs w:val="0"/>
          <w:sz w:val="32"/>
          <w:szCs w:val="32"/>
          <w:highlight w:val="none"/>
        </w:rPr>
        <w:t>妇女儿童司法保护、反家暴多部门联动等长效机制落地落实。</w:t>
      </w:r>
      <w:r>
        <w:rPr>
          <w:rFonts w:hint="default" w:ascii="Times New Roman" w:hAnsi="Times New Roman" w:eastAsia="仿宋_GB2312" w:cs="Times New Roman"/>
          <w:b w:val="0"/>
          <w:bCs w:val="0"/>
          <w:color w:val="000000"/>
          <w:sz w:val="32"/>
          <w:highlight w:val="none"/>
          <w:lang w:val="en-US" w:eastAsia="zh-CN"/>
        </w:rPr>
        <w:t xml:space="preserve">深入开展关爱外出务工妇女“回家行动”、贫困妇女“两癌”救助、“春蕾计划”等，关心关爱困难妇幼。  </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6</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实施巾帼建功再提升行动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color w:val="000000"/>
          <w:sz w:val="32"/>
          <w:highlight w:val="none"/>
          <w:lang w:val="en-US" w:eastAsia="zh-CN"/>
        </w:rPr>
        <w:t>举办巾帼文明岗培训班，</w:t>
      </w:r>
      <w:r>
        <w:rPr>
          <w:rFonts w:hint="default" w:ascii="Times New Roman" w:hAnsi="Times New Roman" w:eastAsia="仿宋_GB2312" w:cs="Times New Roman"/>
          <w:color w:val="000000"/>
          <w:sz w:val="32"/>
          <w:highlight w:val="none"/>
          <w:lang w:eastAsia="zh-CN"/>
        </w:rPr>
        <w:t>评选</w:t>
      </w:r>
      <w:r>
        <w:rPr>
          <w:rFonts w:hint="default" w:ascii="Times New Roman" w:hAnsi="Times New Roman" w:eastAsia="仿宋_GB2312" w:cs="Times New Roman"/>
          <w:color w:val="000000"/>
          <w:sz w:val="32"/>
          <w:highlight w:val="none"/>
          <w:lang w:val="en-US" w:eastAsia="zh-CN"/>
        </w:rPr>
        <w:t>巾帼文明岗</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val="en-US" w:eastAsia="zh-CN"/>
        </w:rPr>
        <w:t>深化“巾帼建功”品牌活动</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kern w:val="0"/>
          <w:sz w:val="32"/>
          <w:szCs w:val="32"/>
          <w:highlight w:val="none"/>
          <w:lang w:eastAsia="zh-CN"/>
        </w:rPr>
        <w:t>服务女性科技工作者，</w:t>
      </w:r>
      <w:r>
        <w:rPr>
          <w:rFonts w:hint="default" w:ascii="Times New Roman" w:hAnsi="Times New Roman" w:eastAsia="仿宋_GB2312" w:cs="Times New Roman"/>
          <w:b w:val="0"/>
          <w:bCs w:val="0"/>
          <w:color w:val="000000"/>
          <w:sz w:val="32"/>
          <w:highlight w:val="none"/>
          <w:lang w:val="en-US" w:eastAsia="zh-CN"/>
        </w:rPr>
        <w:t>依托知名高校和智库搭建交流成长平台，</w:t>
      </w:r>
      <w:r>
        <w:rPr>
          <w:rFonts w:hint="default" w:ascii="Times New Roman" w:hAnsi="Times New Roman" w:eastAsia="仿宋_GB2312" w:cs="Times New Roman"/>
          <w:color w:val="000000"/>
          <w:kern w:val="0"/>
          <w:sz w:val="32"/>
          <w:szCs w:val="32"/>
          <w:highlight w:val="none"/>
          <w:lang w:eastAsia="zh-CN"/>
        </w:rPr>
        <w:t>在助力科教兴市、人才强市中展现巾帼担当。落实“疫情要防住、经济要稳住、发展要安全”的要求，</w:t>
      </w:r>
      <w:r>
        <w:rPr>
          <w:rFonts w:hint="default" w:ascii="Times New Roman" w:hAnsi="Times New Roman" w:eastAsia="仿宋_GB2312" w:cs="Times New Roman"/>
          <w:b w:val="0"/>
          <w:bCs w:val="0"/>
          <w:color w:val="000000"/>
          <w:sz w:val="32"/>
          <w:highlight w:val="none"/>
          <w:lang w:val="en-US" w:eastAsia="zh-CN"/>
        </w:rPr>
        <w:t>围绕</w:t>
      </w:r>
      <w:r>
        <w:rPr>
          <w:rFonts w:hint="default" w:ascii="Times New Roman" w:hAnsi="Times New Roman" w:eastAsia="仿宋_GB2312" w:cs="Times New Roman"/>
          <w:color w:val="000000"/>
          <w:sz w:val="32"/>
          <w:highlight w:val="none"/>
          <w:lang w:val="en-US" w:eastAsia="zh-CN"/>
        </w:rPr>
        <w:t>“一带一路”、成渝地区双城经济圈建设、国家文化出口基地建设等，</w:t>
      </w:r>
      <w:r>
        <w:rPr>
          <w:rFonts w:hint="default" w:ascii="Times New Roman" w:hAnsi="Times New Roman" w:eastAsia="仿宋_GB2312" w:cs="Times New Roman"/>
          <w:b w:val="0"/>
          <w:bCs w:val="0"/>
          <w:color w:val="000000"/>
          <w:sz w:val="32"/>
          <w:highlight w:val="none"/>
          <w:lang w:eastAsia="zh-CN"/>
        </w:rPr>
        <w:t>发挥“联”字优势，</w:t>
      </w:r>
      <w:r>
        <w:rPr>
          <w:rFonts w:hint="default" w:ascii="Times New Roman" w:hAnsi="Times New Roman" w:eastAsia="仿宋_GB2312" w:cs="Times New Roman"/>
          <w:color w:val="000000"/>
          <w:sz w:val="32"/>
          <w:highlight w:val="none"/>
          <w:lang w:val="en-US" w:eastAsia="zh-CN"/>
        </w:rPr>
        <w:t>助力现代服务业发展，推动“彩灯+”“+彩灯”“彩灯进家庭”等。</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楷体_GB2312" w:cs="Times New Roman"/>
          <w:b/>
          <w:kern w:val="0"/>
          <w:sz w:val="32"/>
          <w:szCs w:val="32"/>
          <w:highlight w:val="none"/>
          <w:shd w:val="clear" w:color="auto" w:fill="FFFFFF"/>
          <w:lang w:val="zh-CN" w:eastAsia="zh-CN" w:bidi="ar-SA"/>
        </w:rPr>
      </w:pPr>
      <w:r>
        <w:rPr>
          <w:rFonts w:hint="default" w:ascii="Times New Roman" w:hAnsi="Times New Roman" w:eastAsia="楷体_GB2312" w:cs="Times New Roman"/>
          <w:b/>
          <w:kern w:val="0"/>
          <w:sz w:val="32"/>
          <w:szCs w:val="32"/>
          <w:highlight w:val="none"/>
          <w:shd w:val="clear" w:color="auto" w:fill="FFFFFF"/>
          <w:lang w:val="zh-CN" w:eastAsia="zh-CN" w:bidi="ar-SA"/>
        </w:rPr>
        <w:t>（四）部门整体支出绩效目标</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Style w:val="22"/>
          <w:rFonts w:hint="default" w:ascii="Times New Roman" w:hAnsi="Times New Roman" w:cs="Times New Roman"/>
          <w:color w:val="000000"/>
          <w:szCs w:val="32"/>
          <w:highlight w:val="none"/>
          <w:lang w:eastAsia="zh-CN"/>
        </w:rPr>
      </w:pPr>
      <w:r>
        <w:rPr>
          <w:rStyle w:val="22"/>
          <w:rFonts w:hint="default" w:ascii="Times New Roman" w:hAnsi="Times New Roman" w:cs="Times New Roman"/>
          <w:color w:val="000000"/>
          <w:szCs w:val="32"/>
          <w:highlight w:val="none"/>
          <w:lang w:eastAsia="zh-CN"/>
        </w:rPr>
        <w:t>2023年，自贡市妇联将</w:t>
      </w:r>
      <w:r>
        <w:rPr>
          <w:rStyle w:val="22"/>
          <w:rFonts w:hint="default" w:ascii="Times New Roman" w:hAnsi="Times New Roman" w:cs="Times New Roman"/>
          <w:color w:val="000000"/>
          <w:szCs w:val="32"/>
          <w:highlight w:val="none"/>
          <w:lang w:val="en-US" w:eastAsia="zh-CN"/>
        </w:rPr>
        <w:t>坚持以习近平新时代中国特色社会主义思想为指导，</w:t>
      </w:r>
      <w:r>
        <w:rPr>
          <w:rStyle w:val="22"/>
          <w:rFonts w:hint="default" w:ascii="Times New Roman" w:hAnsi="Times New Roman" w:cs="Times New Roman"/>
          <w:color w:val="000000"/>
          <w:szCs w:val="32"/>
          <w:highlight w:val="none"/>
          <w:lang w:eastAsia="zh-CN"/>
        </w:rPr>
        <w:t>深入学习</w:t>
      </w:r>
      <w:r>
        <w:rPr>
          <w:rStyle w:val="22"/>
          <w:rFonts w:hint="default" w:ascii="Times New Roman" w:hAnsi="Times New Roman" w:cs="Times New Roman"/>
          <w:color w:val="000000"/>
          <w:szCs w:val="32"/>
          <w:highlight w:val="none"/>
          <w:lang w:val="en-US" w:eastAsia="zh-CN"/>
        </w:rPr>
        <w:t>贯彻党的</w:t>
      </w:r>
      <w:r>
        <w:rPr>
          <w:rStyle w:val="22"/>
          <w:rFonts w:hint="default" w:ascii="Times New Roman" w:hAnsi="Times New Roman" w:cs="Times New Roman"/>
          <w:color w:val="000000"/>
          <w:szCs w:val="32"/>
          <w:highlight w:val="none"/>
          <w:lang w:eastAsia="zh-CN"/>
        </w:rPr>
        <w:t>二十大</w:t>
      </w:r>
      <w:r>
        <w:rPr>
          <w:rStyle w:val="22"/>
          <w:rFonts w:hint="default" w:ascii="Times New Roman" w:hAnsi="Times New Roman" w:cs="Times New Roman"/>
          <w:color w:val="000000"/>
          <w:szCs w:val="32"/>
          <w:highlight w:val="none"/>
          <w:lang w:val="en-US" w:eastAsia="zh-CN"/>
        </w:rPr>
        <w:t>精神，</w:t>
      </w:r>
      <w:r>
        <w:rPr>
          <w:rStyle w:val="22"/>
          <w:rFonts w:hint="default" w:ascii="Times New Roman" w:hAnsi="Times New Roman" w:cs="Times New Roman"/>
          <w:color w:val="000000"/>
          <w:szCs w:val="32"/>
          <w:highlight w:val="none"/>
          <w:lang w:eastAsia="zh-CN"/>
        </w:rPr>
        <w:t>贯彻落实习近平总书记关于群团工作和群团改革、关于妇女和妇女工作、关于注重家庭家教家风建设等重要论述，</w:t>
      </w:r>
      <w:r>
        <w:rPr>
          <w:rStyle w:val="22"/>
          <w:rFonts w:hint="default" w:ascii="Times New Roman" w:hAnsi="Times New Roman" w:cs="Times New Roman"/>
          <w:color w:val="000000"/>
          <w:szCs w:val="32"/>
          <w:highlight w:val="none"/>
          <w:lang w:val="en-US" w:eastAsia="zh-CN"/>
        </w:rPr>
        <w:t>认真落实</w:t>
      </w:r>
      <w:r>
        <w:rPr>
          <w:rStyle w:val="22"/>
          <w:rFonts w:hint="default" w:ascii="Times New Roman" w:hAnsi="Times New Roman" w:cs="Times New Roman"/>
          <w:color w:val="000000"/>
          <w:szCs w:val="32"/>
          <w:highlight w:val="none"/>
          <w:lang w:eastAsia="zh-CN"/>
        </w:rPr>
        <w:t>省第十二次党代会、</w:t>
      </w:r>
      <w:r>
        <w:rPr>
          <w:rStyle w:val="22"/>
          <w:rFonts w:hint="default" w:ascii="Times New Roman" w:hAnsi="Times New Roman" w:cs="Times New Roman"/>
          <w:color w:val="000000"/>
          <w:szCs w:val="32"/>
          <w:highlight w:val="none"/>
          <w:lang w:val="en-US" w:eastAsia="zh-CN"/>
        </w:rPr>
        <w:t>市第十三次党代会</w:t>
      </w:r>
      <w:r>
        <w:rPr>
          <w:rStyle w:val="22"/>
          <w:rFonts w:hint="default" w:ascii="Times New Roman" w:hAnsi="Times New Roman" w:cs="Times New Roman"/>
          <w:color w:val="000000"/>
          <w:szCs w:val="32"/>
          <w:highlight w:val="none"/>
          <w:lang w:eastAsia="zh-CN"/>
        </w:rPr>
        <w:t>精神</w:t>
      </w:r>
      <w:r>
        <w:rPr>
          <w:rStyle w:val="22"/>
          <w:rFonts w:hint="default" w:ascii="Times New Roman" w:hAnsi="Times New Roman" w:cs="Times New Roman"/>
          <w:color w:val="000000"/>
          <w:szCs w:val="32"/>
          <w:highlight w:val="none"/>
          <w:lang w:val="en-US" w:eastAsia="zh-CN"/>
        </w:rPr>
        <w:t>，</w:t>
      </w:r>
      <w:r>
        <w:rPr>
          <w:rStyle w:val="22"/>
          <w:rFonts w:hint="default" w:ascii="Times New Roman" w:hAnsi="Times New Roman" w:cs="Times New Roman"/>
          <w:color w:val="000000"/>
          <w:szCs w:val="32"/>
          <w:highlight w:val="none"/>
          <w:lang w:eastAsia="zh-CN"/>
        </w:rPr>
        <w:t>增强</w:t>
      </w:r>
      <w:r>
        <w:rPr>
          <w:rStyle w:val="22"/>
          <w:rFonts w:hint="default" w:ascii="Times New Roman" w:hAnsi="Times New Roman" w:cs="Times New Roman"/>
          <w:color w:val="000000"/>
          <w:szCs w:val="32"/>
          <w:highlight w:val="none"/>
          <w:lang w:val="en-US" w:eastAsia="zh-CN"/>
        </w:rPr>
        <w:t>“四个意识”、坚定“四个自信”、做到“两个维护”</w:t>
      </w:r>
      <w:r>
        <w:rPr>
          <w:rStyle w:val="22"/>
          <w:rFonts w:hint="default" w:ascii="Times New Roman" w:hAnsi="Times New Roman" w:cs="Times New Roman"/>
          <w:color w:val="000000"/>
          <w:szCs w:val="32"/>
          <w:highlight w:val="none"/>
          <w:lang w:eastAsia="zh-CN"/>
        </w:rPr>
        <w:t>。</w:t>
      </w:r>
      <w:r>
        <w:rPr>
          <w:rStyle w:val="22"/>
          <w:rFonts w:hint="default" w:ascii="Times New Roman" w:hAnsi="Times New Roman" w:cs="Times New Roman"/>
          <w:color w:val="000000"/>
          <w:szCs w:val="32"/>
          <w:highlight w:val="none"/>
          <w:lang w:val="en-US" w:eastAsia="zh-CN"/>
        </w:rPr>
        <w:t>持续推进市妇联“1136”工作思路，</w:t>
      </w:r>
      <w:r>
        <w:rPr>
          <w:rStyle w:val="22"/>
          <w:rFonts w:hint="default" w:ascii="Times New Roman" w:hAnsi="Times New Roman" w:cs="Times New Roman"/>
          <w:color w:val="000000"/>
          <w:szCs w:val="32"/>
          <w:highlight w:val="none"/>
          <w:lang w:eastAsia="zh-CN"/>
        </w:rPr>
        <w:t>即</w:t>
      </w:r>
      <w:r>
        <w:rPr>
          <w:rStyle w:val="22"/>
          <w:rFonts w:hint="default" w:ascii="Times New Roman" w:hAnsi="Times New Roman" w:cs="Times New Roman"/>
          <w:color w:val="000000"/>
          <w:szCs w:val="32"/>
          <w:highlight w:val="none"/>
          <w:lang w:val="en-US" w:eastAsia="zh-CN"/>
        </w:rPr>
        <w:t>以“巾帼心向党，共建共享城乡一体繁荣幸福新自贡”为主题，以深化妇联改革为动力，以“争做幸福使者、智创幸福产业、共筑幸福家园”为抓手，以实施“素质提升、强基固本、幸福家庭、乡村振兴、维权关爱、巾帼建功”六大再提升行动为路径，</w:t>
      </w:r>
      <w:r>
        <w:rPr>
          <w:rStyle w:val="22"/>
          <w:rFonts w:hint="default" w:ascii="Times New Roman" w:hAnsi="Times New Roman" w:cs="Times New Roman"/>
          <w:color w:val="000000"/>
          <w:szCs w:val="32"/>
          <w:highlight w:val="none"/>
          <w:lang w:eastAsia="zh-CN"/>
        </w:rPr>
        <w:t>精心筹备召开自贡妇女十四大，</w:t>
      </w:r>
      <w:r>
        <w:rPr>
          <w:rStyle w:val="22"/>
          <w:rFonts w:hint="default" w:ascii="Times New Roman" w:hAnsi="Times New Roman" w:cs="Times New Roman"/>
          <w:color w:val="000000"/>
          <w:szCs w:val="32"/>
          <w:highlight w:val="none"/>
          <w:lang w:val="en-US" w:eastAsia="zh-CN"/>
        </w:rPr>
        <w:t>推进新时代妇联工作高质量发展，团结动员全市妇女为加快建设新时代深化改革扩大开放示范城市贡献巾帼力量</w:t>
      </w:r>
      <w:r>
        <w:rPr>
          <w:rStyle w:val="22"/>
          <w:rFonts w:hint="default" w:ascii="Times New Roman" w:hAnsi="Times New Roman" w:cs="Times New Roman"/>
          <w:color w:val="000000"/>
          <w:szCs w:val="32"/>
          <w:highlight w:val="none"/>
          <w:lang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二、</w:t>
      </w:r>
      <w:r>
        <w:rPr>
          <w:rFonts w:hint="default" w:ascii="Times New Roman" w:hAnsi="Times New Roman" w:eastAsia="黑体" w:cs="Times New Roman"/>
          <w:highlight w:val="none"/>
        </w:rPr>
        <w:t>部门资金收支情况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楷体_GB2312" w:cs="Times New Roman"/>
          <w:b/>
          <w:highlight w:val="none"/>
        </w:rPr>
      </w:pPr>
      <w:r>
        <w:rPr>
          <w:rFonts w:hint="default" w:ascii="Times New Roman" w:hAnsi="Times New Roman" w:eastAsia="楷体_GB2312" w:cs="Times New Roman"/>
          <w:b/>
          <w:bCs/>
          <w:kern w:val="0"/>
          <w:szCs w:val="32"/>
          <w:highlight w:val="none"/>
          <w:shd w:val="clear" w:color="auto" w:fill="FFFFFF"/>
        </w:rPr>
        <w:t>（一）</w:t>
      </w:r>
      <w:r>
        <w:rPr>
          <w:rFonts w:hint="default" w:ascii="Times New Roman" w:hAnsi="Times New Roman" w:eastAsia="楷体_GB2312" w:cs="Times New Roman"/>
          <w:b/>
          <w:highlight w:val="none"/>
          <w:lang w:eastAsia="zh-CN"/>
        </w:rPr>
        <w:t>部门整体收支情况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lang w:val="en-US" w:eastAsia="zh-CN"/>
        </w:rPr>
        <w:t>1.部门总体收入情况。</w:t>
      </w:r>
      <w:r>
        <w:rPr>
          <w:rFonts w:hint="default" w:ascii="Times New Roman" w:hAnsi="Times New Roman" w:cs="Times New Roman"/>
          <w:szCs w:val="32"/>
          <w:highlight w:val="none"/>
        </w:rPr>
        <w:t>20</w:t>
      </w:r>
      <w:r>
        <w:rPr>
          <w:rFonts w:hint="default" w:ascii="Times New Roman" w:hAnsi="Times New Roman" w:cs="Times New Roman"/>
          <w:szCs w:val="32"/>
          <w:highlight w:val="none"/>
          <w:lang w:val="en-US" w:eastAsia="zh-CN"/>
        </w:rPr>
        <w:t>23</w:t>
      </w:r>
      <w:r>
        <w:rPr>
          <w:rFonts w:hint="default" w:ascii="Times New Roman" w:hAnsi="Times New Roman" w:cs="Times New Roman"/>
          <w:szCs w:val="32"/>
          <w:highlight w:val="none"/>
        </w:rPr>
        <w:t>年自贡市妇女联合会收入总计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rPr>
        <w:t>元，均为一般公共预算财政拨款收入。</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spacing w:val="23"/>
          <w:kern w:val="0"/>
          <w:sz w:val="32"/>
          <w:szCs w:val="32"/>
          <w:highlight w:val="none"/>
          <w:lang w:val="en-US" w:eastAsia="zh-CN"/>
        </w:rPr>
      </w:pPr>
      <w:r>
        <w:rPr>
          <w:rFonts w:hint="default" w:ascii="Times New Roman" w:hAnsi="Times New Roman" w:cs="Times New Roman"/>
          <w:szCs w:val="32"/>
          <w:highlight w:val="none"/>
          <w:lang w:val="en-US" w:eastAsia="zh-CN"/>
        </w:rPr>
        <w:t>2.部门总体支出情况。2023年自贡市妇女联合会支出总计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lang w:val="en-US" w:eastAsia="zh-CN"/>
        </w:rPr>
        <w:t>元。其中</w:t>
      </w:r>
      <w:r>
        <w:rPr>
          <w:rFonts w:hint="default" w:ascii="Times New Roman" w:hAnsi="Times New Roman" w:eastAsia="仿宋_GB2312" w:cs="Times New Roman"/>
          <w:color w:val="000000"/>
          <w:spacing w:val="23"/>
          <w:kern w:val="0"/>
          <w:sz w:val="32"/>
          <w:szCs w:val="32"/>
          <w:highlight w:val="none"/>
          <w:lang w:val="en-US" w:eastAsia="zh-CN"/>
        </w:rPr>
        <w:t>基本支出3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646</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856.52元，分别是人员经费3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234</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191.6元，日常公用经费412</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664.92元</w:t>
      </w:r>
      <w:r>
        <w:rPr>
          <w:rFonts w:hint="eastAsia"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项目支出1</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608</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682.62元。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楷体_GB2312" w:cs="Times New Roman"/>
          <w:b/>
          <w:highlight w:val="none"/>
        </w:rPr>
      </w:pPr>
      <w:r>
        <w:rPr>
          <w:rFonts w:hint="default" w:ascii="Times New Roman" w:hAnsi="Times New Roman" w:eastAsia="楷体_GB2312" w:cs="Times New Roman"/>
          <w:b/>
          <w:bCs/>
          <w:kern w:val="0"/>
          <w:szCs w:val="32"/>
          <w:highlight w:val="none"/>
          <w:shd w:val="clear" w:color="auto" w:fill="FFFFFF"/>
        </w:rPr>
        <w:t>（二）</w:t>
      </w:r>
      <w:r>
        <w:rPr>
          <w:rFonts w:hint="default" w:ascii="Times New Roman" w:hAnsi="Times New Roman" w:eastAsia="楷体_GB2312" w:cs="Times New Roman"/>
          <w:b/>
          <w:bCs/>
          <w:kern w:val="0"/>
          <w:szCs w:val="32"/>
          <w:highlight w:val="none"/>
          <w:shd w:val="clear" w:color="auto" w:fill="FFFFFF"/>
          <w:lang w:eastAsia="zh-CN"/>
        </w:rPr>
        <w:t>部门财政拨款收支情况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lang w:val="en-US" w:eastAsia="zh-CN"/>
        </w:rPr>
        <w:t>1.部门财政拨款收入情况。</w:t>
      </w:r>
      <w:r>
        <w:rPr>
          <w:rFonts w:hint="default" w:ascii="Times New Roman" w:hAnsi="Times New Roman" w:cs="Times New Roman"/>
          <w:szCs w:val="32"/>
          <w:highlight w:val="none"/>
        </w:rPr>
        <w:t>20</w:t>
      </w:r>
      <w:r>
        <w:rPr>
          <w:rFonts w:hint="default" w:ascii="Times New Roman" w:hAnsi="Times New Roman" w:cs="Times New Roman"/>
          <w:szCs w:val="32"/>
          <w:highlight w:val="none"/>
          <w:lang w:val="en-US" w:eastAsia="zh-CN"/>
        </w:rPr>
        <w:t>23</w:t>
      </w:r>
      <w:r>
        <w:rPr>
          <w:rFonts w:hint="default" w:ascii="Times New Roman" w:hAnsi="Times New Roman" w:cs="Times New Roman"/>
          <w:szCs w:val="32"/>
          <w:highlight w:val="none"/>
        </w:rPr>
        <w:t>年自贡市妇女联合会</w:t>
      </w:r>
      <w:r>
        <w:rPr>
          <w:rFonts w:hint="default" w:ascii="Times New Roman" w:hAnsi="Times New Roman" w:cs="Times New Roman"/>
          <w:szCs w:val="32"/>
          <w:highlight w:val="none"/>
          <w:lang w:eastAsia="zh-CN"/>
        </w:rPr>
        <w:t>财政拨款</w:t>
      </w:r>
      <w:r>
        <w:rPr>
          <w:rFonts w:hint="default" w:ascii="Times New Roman" w:hAnsi="Times New Roman" w:cs="Times New Roman"/>
          <w:szCs w:val="32"/>
          <w:highlight w:val="none"/>
        </w:rPr>
        <w:t>收入总计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rPr>
        <w:t>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spacing w:val="23"/>
          <w:kern w:val="0"/>
          <w:sz w:val="32"/>
          <w:szCs w:val="32"/>
          <w:highlight w:val="none"/>
          <w:lang w:val="en-US" w:eastAsia="zh-CN"/>
        </w:rPr>
      </w:pPr>
      <w:r>
        <w:rPr>
          <w:rFonts w:hint="default" w:ascii="Times New Roman" w:hAnsi="Times New Roman" w:cs="Times New Roman"/>
          <w:szCs w:val="32"/>
          <w:highlight w:val="none"/>
          <w:lang w:val="en-US" w:eastAsia="zh-CN"/>
        </w:rPr>
        <w:t>2.部门财政拨款支出情况。202</w:t>
      </w:r>
      <w:r>
        <w:rPr>
          <w:rFonts w:hint="eastAsia" w:ascii="Times New Roman" w:hAnsi="Times New Roman" w:cs="Times New Roman"/>
          <w:szCs w:val="32"/>
          <w:highlight w:val="none"/>
          <w:lang w:val="en-US" w:eastAsia="zh-CN"/>
        </w:rPr>
        <w:t>3</w:t>
      </w:r>
      <w:r>
        <w:rPr>
          <w:rFonts w:hint="default" w:ascii="Times New Roman" w:hAnsi="Times New Roman" w:cs="Times New Roman"/>
          <w:szCs w:val="32"/>
          <w:highlight w:val="none"/>
          <w:lang w:val="en-US" w:eastAsia="zh-CN"/>
        </w:rPr>
        <w:t>年自贡市妇女联合会财政拨款支出总计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lang w:val="en-US" w:eastAsia="zh-CN"/>
        </w:rPr>
        <w:t>元。</w:t>
      </w:r>
      <w:r>
        <w:rPr>
          <w:rFonts w:hint="default" w:ascii="Times New Roman" w:hAnsi="Times New Roman" w:eastAsia="仿宋_GB2312" w:cs="Times New Roman"/>
          <w:color w:val="000000"/>
          <w:spacing w:val="23"/>
          <w:kern w:val="0"/>
          <w:sz w:val="32"/>
          <w:szCs w:val="32"/>
          <w:highlight w:val="none"/>
          <w:lang w:val="en-US" w:eastAsia="zh-CN"/>
        </w:rPr>
        <w:t>基本支出3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646</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856.52元，分别是人员经费3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234</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191.6元，日常公用经费412</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664.92元</w:t>
      </w:r>
      <w:r>
        <w:rPr>
          <w:rFonts w:hint="eastAsia"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项目支出1</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608</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682.62元。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kern w:val="0"/>
          <w:szCs w:val="32"/>
          <w:highlight w:val="none"/>
          <w:shd w:val="clear" w:color="auto" w:fill="FFFFFF"/>
          <w:lang w:eastAsia="zh-CN"/>
        </w:rPr>
      </w:pPr>
      <w:r>
        <w:rPr>
          <w:rFonts w:hint="default" w:ascii="Times New Roman" w:hAnsi="Times New Roman" w:eastAsia="黑体" w:cs="Times New Roman"/>
          <w:kern w:val="0"/>
          <w:szCs w:val="32"/>
          <w:highlight w:val="none"/>
          <w:shd w:val="clear" w:color="auto" w:fill="FFFFFF"/>
        </w:rPr>
        <w:t>三、部门</w:t>
      </w:r>
      <w:r>
        <w:rPr>
          <w:rFonts w:hint="default" w:ascii="Times New Roman" w:hAnsi="Times New Roman" w:eastAsia="黑体" w:cs="Times New Roman"/>
          <w:kern w:val="0"/>
          <w:szCs w:val="32"/>
          <w:highlight w:val="none"/>
          <w:shd w:val="clear" w:color="auto" w:fill="FFFFFF"/>
          <w:lang w:eastAsia="zh-CN"/>
        </w:rPr>
        <w:t>整体绩效分析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楷体_GB2312" w:cs="Times New Roman"/>
          <w:b/>
          <w:bCs/>
          <w:kern w:val="0"/>
          <w:szCs w:val="32"/>
          <w:highlight w:val="none"/>
          <w:shd w:val="clear" w:color="auto" w:fill="FFFFFF"/>
          <w:lang w:eastAsia="zh-CN"/>
        </w:rPr>
      </w:pPr>
      <w:r>
        <w:rPr>
          <w:rFonts w:hint="default" w:ascii="Times New Roman" w:hAnsi="Times New Roman" w:eastAsia="楷体_GB2312" w:cs="Times New Roman"/>
          <w:b/>
          <w:bCs/>
          <w:kern w:val="0"/>
          <w:szCs w:val="32"/>
          <w:highlight w:val="none"/>
          <w:shd w:val="clear" w:color="auto" w:fill="FFFFFF"/>
        </w:rPr>
        <w:t>（一）</w:t>
      </w:r>
      <w:r>
        <w:rPr>
          <w:rFonts w:hint="default" w:ascii="Times New Roman" w:hAnsi="Times New Roman" w:eastAsia="楷体_GB2312" w:cs="Times New Roman"/>
          <w:b/>
          <w:bCs/>
          <w:kern w:val="0"/>
          <w:szCs w:val="32"/>
          <w:highlight w:val="none"/>
          <w:shd w:val="clear" w:color="auto" w:fill="FFFFFF"/>
          <w:lang w:eastAsia="zh-CN"/>
        </w:rPr>
        <w:t>部门预算项目绩效分析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仿宋_GB2312" w:cs="Times New Roman"/>
          <w:b/>
          <w:bCs/>
          <w:kern w:val="2"/>
          <w:sz w:val="32"/>
          <w:szCs w:val="32"/>
          <w:highlight w:val="none"/>
          <w:shd w:val="clear" w:color="auto" w:fill="FFFFFF"/>
          <w:lang w:val="en-US" w:eastAsia="zh-CN" w:bidi="ar-SA"/>
        </w:rPr>
      </w:pPr>
      <w:r>
        <w:rPr>
          <w:rFonts w:hint="default" w:ascii="Times New Roman" w:hAnsi="Times New Roman" w:eastAsia="仿宋_GB2312" w:cs="Times New Roman"/>
          <w:b/>
          <w:bCs/>
          <w:kern w:val="2"/>
          <w:sz w:val="32"/>
          <w:szCs w:val="32"/>
          <w:highlight w:val="none"/>
          <w:shd w:val="clear" w:color="auto" w:fill="FFFFFF"/>
          <w:lang w:val="en-US" w:eastAsia="zh-CN" w:bidi="ar-SA"/>
        </w:rPr>
        <w:t>1.人员类项目绩效分析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在目标制定方面，我</w:t>
      </w:r>
      <w:r>
        <w:rPr>
          <w:rFonts w:hint="default" w:ascii="Times New Roman" w:hAnsi="Times New Roman" w:cs="Times New Roman"/>
          <w:color w:val="000000"/>
          <w:kern w:val="0"/>
          <w:sz w:val="32"/>
          <w:szCs w:val="32"/>
          <w:highlight w:val="none"/>
          <w:shd w:val="clear" w:color="auto" w:fill="FFFFFF"/>
          <w:lang w:val="en-US" w:eastAsia="zh-CN"/>
        </w:rPr>
        <w:t>会</w:t>
      </w:r>
      <w:r>
        <w:rPr>
          <w:rFonts w:hint="default" w:ascii="Times New Roman" w:hAnsi="Times New Roman" w:eastAsia="仿宋_GB2312" w:cs="Times New Roman"/>
          <w:color w:val="000000"/>
          <w:kern w:val="0"/>
          <w:sz w:val="32"/>
          <w:szCs w:val="32"/>
          <w:highlight w:val="none"/>
          <w:shd w:val="clear" w:color="auto" w:fill="FFFFFF"/>
          <w:lang w:val="zh-CN"/>
        </w:rPr>
        <w:t>统筹安排</w:t>
      </w:r>
      <w:r>
        <w:rPr>
          <w:rFonts w:hint="default" w:ascii="Times New Roman" w:hAnsi="Times New Roman" w:cs="Times New Roman"/>
          <w:color w:val="000000"/>
          <w:kern w:val="0"/>
          <w:sz w:val="32"/>
          <w:szCs w:val="32"/>
          <w:highlight w:val="none"/>
          <w:shd w:val="clear" w:color="auto" w:fill="FFFFFF"/>
          <w:lang w:val="en-US" w:eastAsia="zh-CN"/>
        </w:rPr>
        <w:t>预算</w:t>
      </w:r>
      <w:r>
        <w:rPr>
          <w:rFonts w:hint="default" w:ascii="Times New Roman" w:hAnsi="Times New Roman" w:eastAsia="仿宋_GB2312" w:cs="Times New Roman"/>
          <w:color w:val="000000"/>
          <w:kern w:val="0"/>
          <w:sz w:val="32"/>
          <w:szCs w:val="32"/>
          <w:highlight w:val="none"/>
          <w:shd w:val="clear" w:color="auto" w:fill="FFFFFF"/>
          <w:lang w:val="zh-CN"/>
        </w:rPr>
        <w:t>，按照科学合理、规范完整、细化量化的标准合理设立绩效目标，认真编制202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年度人员类项目绩效</w:t>
      </w:r>
      <w:r>
        <w:rPr>
          <w:rFonts w:hint="default" w:ascii="Times New Roman" w:hAnsi="Times New Roman" w:cs="Times New Roman"/>
          <w:color w:val="000000"/>
          <w:kern w:val="0"/>
          <w:sz w:val="32"/>
          <w:szCs w:val="32"/>
          <w:highlight w:val="none"/>
          <w:shd w:val="clear" w:color="auto" w:fill="FFFFFF"/>
          <w:lang w:val="zh-CN"/>
        </w:rPr>
        <w:t>，</w:t>
      </w:r>
      <w:r>
        <w:rPr>
          <w:rFonts w:hint="default" w:ascii="Times New Roman" w:hAnsi="Times New Roman" w:cs="Times New Roman"/>
          <w:highlight w:val="none"/>
          <w:lang w:val="zh-CN"/>
        </w:rPr>
        <w:t>对单位及人员的基本信息、工资项目及数据进行全面的收集、清理、完善与审核，对各项收入、支出预算的编制力求做到完整、准确、规范。</w:t>
      </w:r>
      <w:r>
        <w:rPr>
          <w:rFonts w:hint="default" w:ascii="Times New Roman" w:hAnsi="Times New Roman" w:eastAsia="仿宋_GB2312" w:cs="Times New Roman"/>
          <w:color w:val="000000"/>
          <w:kern w:val="0"/>
          <w:sz w:val="32"/>
          <w:szCs w:val="32"/>
          <w:highlight w:val="none"/>
          <w:shd w:val="clear" w:color="auto" w:fill="FFFFFF"/>
          <w:lang w:val="zh-CN"/>
        </w:rPr>
        <w:t>在及时处置方面，我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人员类项目在绩效运行监控过程中未出现相关问题。根据财会监督和部门自查结果方面来看，我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认真落实党政机关过紧日子相关要求，</w:t>
      </w:r>
      <w:r>
        <w:rPr>
          <w:rFonts w:hint="default" w:ascii="Times New Roman" w:hAnsi="Times New Roman" w:cs="Times New Roman"/>
          <w:highlight w:val="none"/>
          <w:lang w:val="zh-CN"/>
        </w:rPr>
        <w:t>严格执行预算管理，</w:t>
      </w:r>
      <w:r>
        <w:rPr>
          <w:rFonts w:hint="default" w:ascii="Times New Roman" w:hAnsi="Times New Roman" w:cs="Times New Roman"/>
          <w:highlight w:val="none"/>
          <w:lang w:val="en-US" w:eastAsia="zh-CN"/>
        </w:rPr>
        <w:t>预算执行进度100%，资金结余率为0，</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年度人员类项目预算管理未出现违纪违规等问题。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cs="Times New Roman"/>
          <w:b/>
          <w:bCs/>
          <w:color w:val="000000"/>
          <w:kern w:val="0"/>
          <w:sz w:val="32"/>
          <w:szCs w:val="32"/>
          <w:highlight w:val="none"/>
          <w:shd w:val="clear" w:color="auto" w:fill="FFFFFF"/>
          <w:lang w:val="en-US" w:eastAsia="zh-CN"/>
        </w:rPr>
        <w:t>2.</w:t>
      </w:r>
      <w:r>
        <w:rPr>
          <w:rFonts w:hint="default" w:ascii="Times New Roman" w:hAnsi="Times New Roman" w:eastAsia="仿宋_GB2312" w:cs="Times New Roman"/>
          <w:b/>
          <w:bCs/>
          <w:color w:val="000000"/>
          <w:kern w:val="0"/>
          <w:sz w:val="32"/>
          <w:szCs w:val="32"/>
          <w:highlight w:val="none"/>
          <w:shd w:val="clear" w:color="auto" w:fill="FFFFFF"/>
          <w:lang w:val="en-US" w:eastAsia="zh-CN"/>
        </w:rPr>
        <w:t>运转类项目绩效分析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在目标制定方面，我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按照科学合理、规范完整、细化量化的标准认真编制202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年度运转类项目绩效</w:t>
      </w:r>
      <w:r>
        <w:rPr>
          <w:rFonts w:hint="default" w:ascii="Times New Roman" w:hAnsi="Times New Roman" w:cs="Times New Roman"/>
          <w:color w:val="000000"/>
          <w:kern w:val="0"/>
          <w:sz w:val="32"/>
          <w:szCs w:val="32"/>
          <w:highlight w:val="none"/>
          <w:shd w:val="clear" w:color="auto" w:fill="FFFFFF"/>
          <w:lang w:val="zh-CN"/>
        </w:rPr>
        <w:t>，</w:t>
      </w:r>
      <w:r>
        <w:rPr>
          <w:rFonts w:hint="default" w:ascii="Times New Roman" w:hAnsi="Times New Roman" w:cs="Times New Roman"/>
          <w:highlight w:val="none"/>
          <w:lang w:val="zh-CN"/>
        </w:rPr>
        <w:t>明确编制项目绩效目标，按时完成项目库报送等工作</w:t>
      </w:r>
      <w:r>
        <w:rPr>
          <w:rFonts w:hint="default" w:ascii="Times New Roman" w:hAnsi="Times New Roman" w:eastAsia="仿宋_GB2312" w:cs="Times New Roman"/>
          <w:color w:val="000000"/>
          <w:kern w:val="0"/>
          <w:sz w:val="32"/>
          <w:szCs w:val="32"/>
          <w:highlight w:val="none"/>
          <w:shd w:val="clear" w:color="auto" w:fill="FFFFFF"/>
          <w:lang w:val="zh-CN"/>
        </w:rPr>
        <w:t>。在及时处置方面，我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运转类项目在绩效运行监控过程中未出现相关问题。根据财会监督和部门自查结果方面来看，我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认真落实党政机关过紧日子相关要求，</w:t>
      </w:r>
      <w:r>
        <w:rPr>
          <w:rFonts w:hint="default" w:ascii="Times New Roman" w:hAnsi="Times New Roman" w:cs="Times New Roman"/>
          <w:highlight w:val="none"/>
          <w:lang w:val="zh-CN"/>
        </w:rPr>
        <w:t>严格执行预算管理、三公经费预算、节能降耗，</w:t>
      </w:r>
      <w:r>
        <w:rPr>
          <w:rFonts w:hint="default" w:ascii="Times New Roman" w:hAnsi="Times New Roman" w:cs="Times New Roman"/>
          <w:highlight w:val="none"/>
          <w:lang w:val="en-US" w:eastAsia="zh-CN"/>
        </w:rPr>
        <w:t>预算执行进度100%，资金结余率为0，</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年度运转类项目预算管理未出现违纪违规等问题。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cs="Times New Roman"/>
          <w:b/>
          <w:bCs/>
          <w:color w:val="000000"/>
          <w:kern w:val="0"/>
          <w:sz w:val="32"/>
          <w:szCs w:val="32"/>
          <w:highlight w:val="none"/>
          <w:shd w:val="clear" w:color="auto" w:fill="FFFFFF"/>
          <w:lang w:val="en-US" w:eastAsia="zh-CN"/>
        </w:rPr>
        <w:t>3.</w:t>
      </w:r>
      <w:r>
        <w:rPr>
          <w:rFonts w:hint="default" w:ascii="Times New Roman" w:hAnsi="Times New Roman" w:eastAsia="仿宋_GB2312" w:cs="Times New Roman"/>
          <w:b/>
          <w:bCs/>
          <w:color w:val="000000"/>
          <w:kern w:val="0"/>
          <w:sz w:val="32"/>
          <w:szCs w:val="32"/>
          <w:highlight w:val="none"/>
          <w:shd w:val="clear" w:color="auto" w:fill="FFFFFF"/>
          <w:lang w:val="en-US" w:eastAsia="zh-CN"/>
        </w:rPr>
        <w:t>特定目标类项目绩效分析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在目标制定方面，我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按照科学合理、规范完整、细化量化的标准认真编制202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w:t>
      </w:r>
      <w:r>
        <w:rPr>
          <w:rFonts w:hint="default" w:ascii="Times New Roman" w:hAnsi="Times New Roman" w:eastAsia="仿宋_GB2312" w:cs="Times New Roman"/>
          <w:color w:val="000000"/>
          <w:kern w:val="0"/>
          <w:sz w:val="32"/>
          <w:szCs w:val="32"/>
          <w:highlight w:val="none"/>
          <w:shd w:val="clear" w:color="auto" w:fill="FFFFFF"/>
          <w:lang w:val="en-US" w:eastAsia="zh-CN"/>
        </w:rPr>
        <w:t>特定目标</w:t>
      </w:r>
      <w:r>
        <w:rPr>
          <w:rFonts w:hint="default" w:ascii="Times New Roman" w:hAnsi="Times New Roman" w:eastAsia="仿宋_GB2312" w:cs="Times New Roman"/>
          <w:color w:val="000000"/>
          <w:kern w:val="0"/>
          <w:sz w:val="32"/>
          <w:szCs w:val="32"/>
          <w:highlight w:val="none"/>
          <w:shd w:val="clear" w:color="auto" w:fill="FFFFFF"/>
          <w:lang w:val="zh-CN"/>
        </w:rPr>
        <w:t>类项目绩效</w:t>
      </w:r>
      <w:r>
        <w:rPr>
          <w:rFonts w:hint="default" w:ascii="Times New Roman" w:hAnsi="Times New Roman" w:cs="Times New Roman"/>
          <w:color w:val="000000"/>
          <w:kern w:val="0"/>
          <w:sz w:val="32"/>
          <w:szCs w:val="32"/>
          <w:highlight w:val="none"/>
          <w:shd w:val="clear" w:color="auto" w:fill="FFFFFF"/>
          <w:lang w:val="zh-CN"/>
        </w:rPr>
        <w:t>，</w:t>
      </w:r>
      <w:r>
        <w:rPr>
          <w:rFonts w:hint="default" w:ascii="Times New Roman" w:hAnsi="Times New Roman" w:cs="Times New Roman"/>
          <w:highlight w:val="none"/>
          <w:lang w:val="zh-CN"/>
        </w:rPr>
        <w:t>明确编制项目绩效目标，按时完成项目库报送等工作</w:t>
      </w:r>
      <w:r>
        <w:rPr>
          <w:rFonts w:hint="default" w:ascii="Times New Roman" w:hAnsi="Times New Roman" w:eastAsia="仿宋_GB2312" w:cs="Times New Roman"/>
          <w:color w:val="000000"/>
          <w:kern w:val="0"/>
          <w:sz w:val="32"/>
          <w:szCs w:val="32"/>
          <w:highlight w:val="none"/>
          <w:shd w:val="clear" w:color="auto" w:fill="FFFFFF"/>
          <w:lang w:val="zh-CN"/>
        </w:rPr>
        <w:t>。在及时处置方面，我</w:t>
      </w:r>
      <w:r>
        <w:rPr>
          <w:rFonts w:hint="default" w:ascii="Times New Roman" w:hAnsi="Times New Roman" w:cs="Times New Roman"/>
          <w:color w:val="000000"/>
          <w:kern w:val="0"/>
          <w:sz w:val="32"/>
          <w:szCs w:val="32"/>
          <w:highlight w:val="none"/>
          <w:shd w:val="clear" w:color="auto" w:fill="FFFFFF"/>
          <w:lang w:val="en-US" w:eastAsia="zh-CN"/>
        </w:rPr>
        <w:t>会</w:t>
      </w:r>
      <w:r>
        <w:rPr>
          <w:rFonts w:hint="default" w:ascii="Times New Roman" w:hAnsi="Times New Roman" w:eastAsia="仿宋_GB2312" w:cs="Times New Roman"/>
          <w:color w:val="000000"/>
          <w:kern w:val="0"/>
          <w:sz w:val="32"/>
          <w:szCs w:val="32"/>
          <w:highlight w:val="none"/>
          <w:shd w:val="clear" w:color="auto" w:fill="FFFFFF"/>
          <w:lang w:val="en-US" w:eastAsia="zh-CN"/>
        </w:rPr>
        <w:t>特定目标</w:t>
      </w:r>
      <w:r>
        <w:rPr>
          <w:rFonts w:hint="default" w:ascii="Times New Roman" w:hAnsi="Times New Roman" w:eastAsia="仿宋_GB2312" w:cs="Times New Roman"/>
          <w:color w:val="000000"/>
          <w:kern w:val="0"/>
          <w:sz w:val="32"/>
          <w:szCs w:val="32"/>
          <w:highlight w:val="none"/>
          <w:shd w:val="clear" w:color="auto" w:fill="FFFFFF"/>
          <w:lang w:val="zh-CN"/>
        </w:rPr>
        <w:t>类项目在绩效运行监控过程中未出现相关问题。根据审计监督、财会监督和部门自查结果方面来看，我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认真落实党政机关过紧日子相关要求，</w:t>
      </w:r>
      <w:r>
        <w:rPr>
          <w:rFonts w:hint="default" w:ascii="Times New Roman" w:hAnsi="Times New Roman" w:cs="Times New Roman"/>
          <w:highlight w:val="none"/>
          <w:lang w:val="zh-CN"/>
        </w:rPr>
        <w:t>严格执行预算管理，</w:t>
      </w:r>
      <w:r>
        <w:rPr>
          <w:rFonts w:hint="default" w:ascii="Times New Roman" w:hAnsi="Times New Roman" w:cs="Times New Roman"/>
          <w:highlight w:val="none"/>
          <w:lang w:val="en-US" w:eastAsia="zh-CN"/>
        </w:rPr>
        <w:t>预算执行进度100%，资金结余率为0，</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w:t>
      </w:r>
      <w:r>
        <w:rPr>
          <w:rFonts w:hint="default" w:ascii="Times New Roman" w:hAnsi="Times New Roman" w:eastAsia="仿宋_GB2312" w:cs="Times New Roman"/>
          <w:color w:val="000000"/>
          <w:kern w:val="0"/>
          <w:sz w:val="32"/>
          <w:szCs w:val="32"/>
          <w:highlight w:val="none"/>
          <w:shd w:val="clear" w:color="auto" w:fill="FFFFFF"/>
          <w:lang w:val="en-US" w:eastAsia="zh-CN"/>
        </w:rPr>
        <w:t>特定目标类</w:t>
      </w:r>
      <w:r>
        <w:rPr>
          <w:rFonts w:hint="default" w:ascii="Times New Roman" w:hAnsi="Times New Roman" w:eastAsia="仿宋_GB2312" w:cs="Times New Roman"/>
          <w:color w:val="000000"/>
          <w:kern w:val="0"/>
          <w:sz w:val="32"/>
          <w:szCs w:val="32"/>
          <w:highlight w:val="none"/>
          <w:shd w:val="clear" w:color="auto" w:fill="FFFFFF"/>
          <w:lang w:val="zh-CN"/>
        </w:rPr>
        <w:t>项目预算管理未出现违纪违规等问题。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部门整体履职绩效分析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202</w:t>
      </w:r>
      <w:r>
        <w:rPr>
          <w:rFonts w:hint="default"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en-US" w:eastAsia="zh-CN"/>
        </w:rPr>
        <w:t>年自贡市妇女联合会高度重视预算绩效管理工作，全面完成各项绩效目标任务。</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一是强化思想政治引领，</w:t>
      </w:r>
      <w:r>
        <w:rPr>
          <w:rFonts w:hint="default" w:ascii="Times New Roman" w:hAnsi="Times New Roman" w:eastAsia="楷体_GB2312" w:cs="Times New Roman"/>
          <w:b/>
          <w:bCs/>
          <w:color w:val="auto"/>
          <w:sz w:val="32"/>
          <w:szCs w:val="32"/>
          <w:highlight w:val="none"/>
          <w:lang w:val="en-US" w:eastAsia="zh-CN"/>
        </w:rPr>
        <w:t>不断</w:t>
      </w:r>
      <w:r>
        <w:rPr>
          <w:rFonts w:hint="default" w:ascii="Times New Roman" w:hAnsi="Times New Roman" w:eastAsia="楷体_GB2312" w:cs="Times New Roman"/>
          <w:b/>
          <w:bCs/>
          <w:color w:val="auto"/>
          <w:sz w:val="32"/>
          <w:szCs w:val="32"/>
          <w:highlight w:val="none"/>
          <w:lang w:eastAsia="zh-CN"/>
        </w:rPr>
        <w:t>推动主题教育走深走实</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开展</w:t>
      </w:r>
      <w:r>
        <w:rPr>
          <w:rFonts w:hint="default" w:ascii="Times New Roman" w:hAnsi="Times New Roman" w:eastAsia="仿宋_GB2312" w:cs="Times New Roman"/>
          <w:color w:val="auto"/>
          <w:sz w:val="32"/>
          <w:szCs w:val="32"/>
          <w:highlight w:val="none"/>
          <w:lang w:val="en-US" w:eastAsia="zh-CN"/>
        </w:rPr>
        <w:t>巾帼心向党•奋进新征程——学习贯彻党的二十大精神“百千万巾帼大宣讲”活动，</w:t>
      </w:r>
      <w:r>
        <w:rPr>
          <w:rFonts w:hint="default" w:ascii="Times New Roman" w:hAnsi="Times New Roman" w:eastAsia="仿宋_GB2312" w:cs="Times New Roman"/>
          <w:color w:val="auto"/>
          <w:kern w:val="0"/>
          <w:sz w:val="32"/>
          <w:szCs w:val="32"/>
          <w:highlight w:val="none"/>
          <w:lang w:val="en-US" w:eastAsia="zh-CN"/>
        </w:rPr>
        <w:t>组建</w:t>
      </w:r>
      <w:r>
        <w:rPr>
          <w:rStyle w:val="22"/>
          <w:rFonts w:hint="default" w:ascii="Times New Roman" w:hAnsi="Times New Roman" w:eastAsia="仿宋_GB2312" w:cs="Times New Roman"/>
          <w:color w:val="auto"/>
          <w:szCs w:val="32"/>
          <w:highlight w:val="none"/>
          <w:lang w:val="en-US" w:eastAsia="zh-CN"/>
        </w:rPr>
        <w:t>“红梅花开”宣讲团进高校进机关进基层进商圈开展巡讲7场次，</w:t>
      </w:r>
      <w:r>
        <w:rPr>
          <w:rFonts w:hint="default" w:ascii="Times New Roman" w:hAnsi="Times New Roman" w:eastAsia="仿宋_GB2312" w:cs="Times New Roman"/>
          <w:color w:val="auto"/>
          <w:sz w:val="32"/>
          <w:szCs w:val="32"/>
          <w:highlight w:val="none"/>
          <w:lang w:eastAsia="zh-CN"/>
        </w:rPr>
        <w:t>向基层赠送</w:t>
      </w:r>
      <w:r>
        <w:rPr>
          <w:rFonts w:hint="default" w:ascii="Times New Roman" w:hAnsi="Times New Roman" w:eastAsia="仿宋_GB2312" w:cs="Times New Roman"/>
          <w:color w:val="auto"/>
          <w:sz w:val="32"/>
          <w:szCs w:val="32"/>
          <w:highlight w:val="none"/>
        </w:rPr>
        <w:t>《习近平走进百姓家》</w:t>
      </w:r>
      <w:r>
        <w:rPr>
          <w:rFonts w:hint="default" w:ascii="Times New Roman" w:hAnsi="Times New Roman" w:eastAsia="仿宋_GB2312" w:cs="Times New Roman"/>
          <w:color w:val="auto"/>
          <w:sz w:val="32"/>
          <w:szCs w:val="32"/>
          <w:highlight w:val="none"/>
          <w:lang w:eastAsia="zh-CN"/>
        </w:rPr>
        <w:t>书籍</w:t>
      </w:r>
      <w:r>
        <w:rPr>
          <w:rFonts w:hint="default" w:ascii="Times New Roman" w:hAnsi="Times New Roman" w:eastAsia="仿宋_GB2312" w:cs="Times New Roman"/>
          <w:color w:val="auto"/>
          <w:sz w:val="32"/>
          <w:szCs w:val="32"/>
          <w:highlight w:val="none"/>
          <w:lang w:val="en-US" w:eastAsia="zh-CN"/>
        </w:rPr>
        <w:t>1390册，推荐出席全国妇女十三大和省妇女十四大代表，通过“声”入人“心”专栏做好参会代表宣讲，让会议精神走进各行业妇女群众。扎实开展学习贯彻习近平新时代中国特色社会主义思想主题教育，高质量完成学习调研整改工作。</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二是积极服务中心大局，助力高质量发展凝聚巾帼力量</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编印市新“两纲”白皮书</w:t>
      </w:r>
      <w:r>
        <w:rPr>
          <w:rFonts w:hint="default" w:ascii="Times New Roman" w:hAnsi="Times New Roman" w:eastAsia="仿宋_GB2312" w:cs="Times New Roman"/>
          <w:color w:val="auto"/>
          <w:kern w:val="0"/>
          <w:sz w:val="32"/>
          <w:szCs w:val="32"/>
          <w:highlight w:val="none"/>
          <w:lang w:val="en-US" w:eastAsia="zh-CN"/>
        </w:rPr>
        <w:t>和宣传</w:t>
      </w:r>
      <w:r>
        <w:rPr>
          <w:rFonts w:hint="default" w:ascii="Times New Roman" w:hAnsi="Times New Roman" w:eastAsia="仿宋_GB2312" w:cs="Times New Roman"/>
          <w:color w:val="auto"/>
          <w:sz w:val="32"/>
          <w:szCs w:val="32"/>
          <w:highlight w:val="none"/>
          <w:lang w:val="en-US" w:eastAsia="zh-CN"/>
        </w:rPr>
        <w:t>视频，</w:t>
      </w:r>
      <w:r>
        <w:rPr>
          <w:rFonts w:hint="default" w:ascii="Times New Roman" w:hAnsi="Times New Roman" w:eastAsia="仿宋_GB2312" w:cs="Times New Roman"/>
          <w:color w:val="auto"/>
          <w:sz w:val="32"/>
          <w:szCs w:val="32"/>
          <w:highlight w:val="none"/>
          <w:lang w:eastAsia="zh-CN"/>
        </w:rPr>
        <w:t>开展全市实施妇儿两纲工作表扬，在全省统计监测会做交流发言</w:t>
      </w:r>
      <w:r>
        <w:rPr>
          <w:rFonts w:hint="default" w:ascii="Times New Roman" w:hAnsi="Times New Roman" w:eastAsia="仿宋_GB2312" w:cs="Times New Roman"/>
          <w:color w:val="auto"/>
          <w:sz w:val="32"/>
          <w:szCs w:val="32"/>
          <w:highlight w:val="none"/>
          <w:lang w:val="en-US" w:eastAsia="zh-CN"/>
        </w:rPr>
        <w:t>。举办“5</w:t>
      </w:r>
      <w:r>
        <w:rPr>
          <w:rFonts w:hint="default" w:ascii="Times New Roman" w:hAnsi="Times New Roman" w:eastAsia="仿宋_GB2312" w:cs="Times New Roman"/>
          <w:b/>
          <w:bCs/>
          <w:color w:val="auto"/>
          <w:sz w:val="30"/>
          <w:szCs w:val="30"/>
          <w:highlight w:val="none"/>
          <w:u w:val="none"/>
          <w:lang w:val="en-US" w:eastAsia="zh-CN"/>
        </w:rPr>
        <w:t>·</w:t>
      </w:r>
      <w:r>
        <w:rPr>
          <w:rFonts w:hint="default" w:ascii="Times New Roman" w:hAnsi="Times New Roman" w:eastAsia="仿宋_GB2312" w:cs="Times New Roman"/>
          <w:color w:val="auto"/>
          <w:sz w:val="32"/>
          <w:szCs w:val="32"/>
          <w:highlight w:val="none"/>
          <w:lang w:val="en-US" w:eastAsia="zh-CN"/>
        </w:rPr>
        <w:t>15”国际家庭日系列活动，在全国首创</w:t>
      </w:r>
      <w:r>
        <w:rPr>
          <w:rFonts w:hint="default" w:ascii="Times New Roman" w:hAnsi="Times New Roman" w:eastAsia="仿宋_GB2312" w:cs="Times New Roman"/>
          <w:color w:val="000000"/>
          <w:sz w:val="32"/>
          <w:szCs w:val="32"/>
          <w:highlight w:val="none"/>
          <w:lang w:val="en-US" w:eastAsia="zh-CN"/>
        </w:rPr>
        <w:t>“成渝地区双城经济圈建设·家家幸福安康工程”——新时代家庭教育</w:t>
      </w:r>
      <w:r>
        <w:rPr>
          <w:rFonts w:hint="default" w:ascii="Times New Roman" w:hAnsi="Times New Roman" w:eastAsia="仿宋_GB2312" w:cs="Times New Roman"/>
          <w:color w:val="auto"/>
          <w:sz w:val="32"/>
          <w:szCs w:val="32"/>
          <w:highlight w:val="none"/>
        </w:rPr>
        <w:t>家庭教育观辩论赛</w:t>
      </w:r>
      <w:r>
        <w:rPr>
          <w:rFonts w:hint="default" w:ascii="Times New Roman" w:hAnsi="Times New Roman" w:eastAsia="仿宋_GB2312" w:cs="Times New Roman"/>
          <w:color w:val="auto"/>
          <w:sz w:val="32"/>
          <w:szCs w:val="32"/>
          <w:highlight w:val="none"/>
          <w:lang w:eastAsia="zh-CN"/>
        </w:rPr>
        <w:t>，已举办三季共</w:t>
      </w:r>
      <w:r>
        <w:rPr>
          <w:rFonts w:hint="default" w:ascii="Times New Roman" w:hAnsi="Times New Roman" w:eastAsia="仿宋_GB2312" w:cs="Times New Roman"/>
          <w:color w:val="auto"/>
          <w:sz w:val="32"/>
          <w:szCs w:val="32"/>
          <w:highlight w:val="none"/>
          <w:lang w:val="en-US" w:eastAsia="zh-CN"/>
        </w:rPr>
        <w:t>17场。结合主题教育解决3个妇儿家庭急难愁盼调研问题。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三是聚焦妇女事业发展，持续实施“六大再提升行动”</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color w:val="auto"/>
          <w:sz w:val="32"/>
          <w:highlight w:val="none"/>
          <w:lang w:val="en-US" w:eastAsia="zh-CN"/>
        </w:rPr>
        <w:t>1.</w:t>
      </w:r>
      <w:r>
        <w:rPr>
          <w:rFonts w:hint="default" w:ascii="Times New Roman" w:hAnsi="Times New Roman" w:eastAsia="仿宋_GB2312" w:cs="Times New Roman"/>
          <w:b/>
          <w:bCs/>
          <w:color w:val="auto"/>
          <w:sz w:val="32"/>
          <w:highlight w:val="none"/>
        </w:rPr>
        <w:t>综合素质有新气象</w:t>
      </w:r>
      <w:r>
        <w:rPr>
          <w:rFonts w:hint="default" w:ascii="Times New Roman" w:hAnsi="Times New Roman" w:eastAsia="仿宋_GB2312" w:cs="Times New Roman"/>
          <w:b/>
          <w:bCs/>
          <w:color w:val="auto"/>
          <w:sz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bidi="ar-SA"/>
        </w:rPr>
        <w:t>以“</w:t>
      </w:r>
      <w:r>
        <w:rPr>
          <w:rFonts w:hint="default" w:ascii="Times New Roman" w:hAnsi="Times New Roman" w:eastAsia="仿宋_GB2312" w:cs="Times New Roman"/>
          <w:color w:val="auto"/>
          <w:sz w:val="32"/>
          <w:szCs w:val="32"/>
          <w:highlight w:val="none"/>
          <w:lang w:val="en-US" w:eastAsia="zh-CN"/>
        </w:rPr>
        <w:t>巾帼心向党•奋进新征程</w:t>
      </w:r>
      <w:r>
        <w:rPr>
          <w:rFonts w:hint="default" w:ascii="Times New Roman" w:hAnsi="Times New Roman" w:eastAsia="仿宋_GB2312" w:cs="Times New Roman"/>
          <w:color w:val="auto"/>
          <w:spacing w:val="0"/>
          <w:kern w:val="2"/>
          <w:sz w:val="32"/>
          <w:szCs w:val="32"/>
          <w:highlight w:val="none"/>
          <w:lang w:val="en-US" w:eastAsia="zh-CN" w:bidi="ar-SA"/>
        </w:rPr>
        <w:t>”为主题，</w:t>
      </w:r>
      <w:r>
        <w:rPr>
          <w:rFonts w:hint="default" w:ascii="Times New Roman" w:hAnsi="Times New Roman" w:eastAsia="仿宋_GB2312" w:cs="Times New Roman"/>
          <w:color w:val="auto"/>
          <w:sz w:val="32"/>
          <w:highlight w:val="none"/>
          <w:lang w:eastAsia="zh-CN"/>
        </w:rPr>
        <w:t>用</w:t>
      </w:r>
      <w:r>
        <w:rPr>
          <w:rFonts w:hint="default" w:ascii="Times New Roman" w:hAnsi="Times New Roman" w:eastAsia="仿宋_GB2312" w:cs="Times New Roman"/>
          <w:color w:val="auto"/>
          <w:sz w:val="32"/>
          <w:highlight w:val="none"/>
        </w:rPr>
        <w:t>群众喜闻乐见的</w:t>
      </w:r>
      <w:r>
        <w:rPr>
          <w:rFonts w:hint="default" w:ascii="Times New Roman" w:hAnsi="Times New Roman" w:eastAsia="仿宋_GB2312" w:cs="Times New Roman"/>
          <w:color w:val="auto"/>
          <w:sz w:val="32"/>
          <w:szCs w:val="32"/>
          <w:highlight w:val="none"/>
          <w:lang w:eastAsia="zh-CN"/>
        </w:rPr>
        <w:t>形式</w:t>
      </w:r>
      <w:r>
        <w:rPr>
          <w:rFonts w:hint="default" w:ascii="Times New Roman" w:hAnsi="Times New Roman" w:eastAsia="仿宋_GB2312" w:cs="Times New Roman"/>
          <w:color w:val="auto"/>
          <w:sz w:val="32"/>
          <w:highlight w:val="none"/>
          <w:lang w:eastAsia="zh-CN"/>
        </w:rPr>
        <w:t>深入</w:t>
      </w:r>
      <w:r>
        <w:rPr>
          <w:rFonts w:hint="default" w:ascii="Times New Roman" w:hAnsi="Times New Roman" w:eastAsia="仿宋_GB2312" w:cs="Times New Roman"/>
          <w:color w:val="auto"/>
          <w:spacing w:val="0"/>
          <w:kern w:val="2"/>
          <w:sz w:val="32"/>
          <w:szCs w:val="32"/>
          <w:highlight w:val="none"/>
          <w:lang w:eastAsia="zh-CN" w:bidi="ar-SA"/>
        </w:rPr>
        <w:t>宣传贯彻</w:t>
      </w:r>
      <w:r>
        <w:rPr>
          <w:rFonts w:hint="default" w:ascii="Times New Roman" w:hAnsi="Times New Roman" w:eastAsia="仿宋_GB2312" w:cs="Times New Roman"/>
          <w:color w:val="auto"/>
          <w:spacing w:val="0"/>
          <w:kern w:val="2"/>
          <w:sz w:val="32"/>
          <w:szCs w:val="32"/>
          <w:highlight w:val="none"/>
          <w:lang w:val="en-US" w:eastAsia="zh-CN" w:bidi="ar-SA"/>
        </w:rPr>
        <w:t>党的二十大精神</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szCs w:val="32"/>
          <w:highlight w:val="none"/>
          <w:lang w:eastAsia="zh-CN"/>
        </w:rPr>
        <w:t>召开</w:t>
      </w:r>
      <w:r>
        <w:rPr>
          <w:rFonts w:hint="default" w:ascii="Times New Roman" w:hAnsi="Times New Roman" w:eastAsia="仿宋_GB2312" w:cs="Times New Roman"/>
          <w:color w:val="auto"/>
          <w:sz w:val="32"/>
          <w:szCs w:val="32"/>
          <w:highlight w:val="none"/>
        </w:rPr>
        <w:t>“三八”</w:t>
      </w:r>
      <w:r>
        <w:rPr>
          <w:rFonts w:hint="default" w:ascii="Times New Roman" w:hAnsi="Times New Roman" w:eastAsia="仿宋_GB2312" w:cs="Times New Roman"/>
          <w:color w:val="auto"/>
          <w:sz w:val="32"/>
          <w:szCs w:val="32"/>
          <w:highlight w:val="none"/>
          <w:lang w:eastAsia="zh-CN"/>
        </w:rPr>
        <w:t>国际</w:t>
      </w:r>
      <w:r>
        <w:rPr>
          <w:rFonts w:hint="default" w:ascii="Times New Roman" w:hAnsi="Times New Roman" w:eastAsia="仿宋_GB2312" w:cs="Times New Roman"/>
          <w:color w:val="auto"/>
          <w:sz w:val="32"/>
          <w:szCs w:val="32"/>
          <w:highlight w:val="none"/>
        </w:rPr>
        <w:t>妇女节优秀女性座谈会</w:t>
      </w:r>
      <w:r>
        <w:rPr>
          <w:rStyle w:val="22"/>
          <w:rFonts w:hint="default" w:ascii="Times New Roman" w:hAnsi="Times New Roman" w:eastAsia="仿宋_GB2312" w:cs="Times New Roman"/>
          <w:color w:val="auto"/>
          <w:szCs w:val="32"/>
          <w:highlight w:val="none"/>
          <w:lang w:val="en-US"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highlight w:val="none"/>
          <w:lang w:val="en-US" w:eastAsia="zh-CN"/>
        </w:rPr>
        <w:t>2.强基固本有新突破。</w:t>
      </w:r>
      <w:r>
        <w:rPr>
          <w:rFonts w:hint="default" w:ascii="Times New Roman" w:hAnsi="Times New Roman" w:eastAsia="仿宋_GB2312" w:cs="Times New Roman"/>
          <w:b w:val="0"/>
          <w:bCs w:val="0"/>
          <w:color w:val="auto"/>
          <w:sz w:val="32"/>
          <w:highlight w:val="none"/>
          <w:lang w:val="en-US" w:eastAsia="zh-CN"/>
        </w:rPr>
        <w:t>印发</w:t>
      </w:r>
      <w:r>
        <w:rPr>
          <w:rFonts w:hint="default" w:ascii="Times New Roman" w:hAnsi="Times New Roman" w:eastAsia="仿宋_GB2312" w:cs="Times New Roman"/>
          <w:color w:val="auto"/>
          <w:sz w:val="32"/>
          <w:szCs w:val="32"/>
          <w:highlight w:val="none"/>
          <w:lang w:val="en-US" w:eastAsia="zh-CN"/>
        </w:rPr>
        <w:t>两新组织等新领域党建带妇建工作实施方案、手册，新建9个示范“妇女之家”；实施“基层妇联领头雁培训计划”，举办培训班30场次、5000余人参训，指导市女企协</w:t>
      </w:r>
      <w:r>
        <w:rPr>
          <w:rFonts w:hint="default" w:ascii="Times New Roman" w:hAnsi="Times New Roman" w:eastAsia="仿宋_GB2312" w:cs="Times New Roman"/>
          <w:color w:val="auto"/>
          <w:sz w:val="32"/>
          <w:szCs w:val="32"/>
          <w:highlight w:val="none"/>
          <w:lang w:eastAsia="zh-CN"/>
        </w:rPr>
        <w:t>成立</w:t>
      </w:r>
      <w:r>
        <w:rPr>
          <w:rFonts w:hint="default" w:ascii="Times New Roman" w:hAnsi="Times New Roman" w:eastAsia="仿宋_GB2312" w:cs="Times New Roman"/>
          <w:color w:val="auto"/>
          <w:sz w:val="32"/>
          <w:szCs w:val="32"/>
          <w:highlight w:val="none"/>
          <w:lang w:val="en-US" w:eastAsia="zh-CN"/>
        </w:rPr>
        <w:t>30周年庆典</w:t>
      </w:r>
      <w:r>
        <w:rPr>
          <w:rFonts w:hint="default" w:ascii="Times New Roman" w:hAnsi="Times New Roman" w:eastAsia="仿宋_GB2312" w:cs="Times New Roman"/>
          <w:color w:val="auto"/>
          <w:sz w:val="32"/>
          <w:szCs w:val="32"/>
          <w:highlight w:val="none"/>
          <w:lang w:eastAsia="zh-CN"/>
        </w:rPr>
        <w:t>和市</w:t>
      </w:r>
      <w:r>
        <w:rPr>
          <w:rFonts w:hint="default" w:ascii="Times New Roman" w:hAnsi="Times New Roman" w:eastAsia="仿宋_GB2312" w:cs="Times New Roman"/>
          <w:color w:val="auto"/>
          <w:sz w:val="32"/>
          <w:szCs w:val="32"/>
          <w:highlight w:val="none"/>
          <w:lang w:val="en-US" w:eastAsia="zh-CN"/>
        </w:rPr>
        <w:t>女摄影家协会换届</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b/>
          <w:bCs/>
          <w:color w:val="auto"/>
          <w:sz w:val="32"/>
          <w:highlight w:val="none"/>
          <w:lang w:val="en-US" w:eastAsia="zh-CN"/>
        </w:rPr>
        <w:t>3.幸福家庭有新风采。</w:t>
      </w:r>
      <w:r>
        <w:rPr>
          <w:rFonts w:hint="default" w:ascii="Times New Roman" w:hAnsi="Times New Roman" w:eastAsia="仿宋_GB2312" w:cs="Times New Roman"/>
          <w:color w:val="auto"/>
          <w:spacing w:val="-6"/>
          <w:kern w:val="2"/>
          <w:sz w:val="32"/>
          <w:szCs w:val="32"/>
          <w:highlight w:val="none"/>
          <w:lang w:val="en-US" w:eastAsia="zh-CN" w:bidi="ar-SA"/>
        </w:rPr>
        <w:t>开展家庭文明创建活动，52户家庭获评全国、省、市级“最美家庭”。</w:t>
      </w:r>
      <w:r>
        <w:rPr>
          <w:rFonts w:hint="default" w:ascii="Times New Roman" w:hAnsi="Times New Roman" w:eastAsia="仿宋_GB2312" w:cs="Times New Roman"/>
          <w:color w:val="auto"/>
          <w:sz w:val="32"/>
          <w:szCs w:val="32"/>
          <w:highlight w:val="none"/>
          <w:u w:val="none"/>
          <w:lang w:val="en-US" w:eastAsia="zh-CN"/>
        </w:rPr>
        <w:t>开设贯彻《习近平关于注重家庭家教家风建设论述摘编》专栏</w:t>
      </w:r>
      <w:r>
        <w:rPr>
          <w:rFonts w:hint="default" w:ascii="Times New Roman" w:hAnsi="Times New Roman" w:eastAsia="仿宋_GB2312" w:cs="Times New Roman"/>
          <w:color w:val="auto"/>
          <w:sz w:val="32"/>
          <w:szCs w:val="32"/>
          <w:highlight w:val="none"/>
          <w:lang w:eastAsia="zh-CN"/>
        </w:rPr>
        <w:t>，召开普惠托育工作会议，培育</w:t>
      </w:r>
      <w:r>
        <w:rPr>
          <w:rFonts w:hint="default" w:ascii="Times New Roman" w:hAnsi="Times New Roman" w:eastAsia="仿宋_GB2312" w:cs="Times New Roman"/>
          <w:color w:val="auto"/>
          <w:kern w:val="0"/>
          <w:sz w:val="32"/>
          <w:szCs w:val="32"/>
          <w:highlight w:val="none"/>
          <w:lang w:val="en-US" w:eastAsia="zh-CN"/>
        </w:rPr>
        <w:t>“友好型儿童之家”70个，</w:t>
      </w:r>
      <w:r>
        <w:rPr>
          <w:rFonts w:hint="default" w:ascii="Times New Roman" w:hAnsi="Times New Roman" w:eastAsia="仿宋_GB2312" w:cs="Times New Roman"/>
          <w:bCs/>
          <w:color w:val="auto"/>
          <w:kern w:val="0"/>
          <w:sz w:val="32"/>
          <w:szCs w:val="32"/>
          <w:highlight w:val="none"/>
          <w:lang w:val="en-US" w:eastAsia="zh-CN"/>
        </w:rPr>
        <w:t>开展家庭教育讲座200余场，</w:t>
      </w:r>
      <w:r>
        <w:rPr>
          <w:rFonts w:hint="default" w:ascii="Times New Roman" w:hAnsi="Times New Roman" w:eastAsia="仿宋_GB2312" w:cs="Times New Roman"/>
          <w:color w:val="auto"/>
          <w:sz w:val="32"/>
          <w:szCs w:val="32"/>
          <w:highlight w:val="none"/>
          <w:lang w:val="en-US" w:eastAsia="zh-CN"/>
        </w:rPr>
        <w:t>开展“红梅花开·和美之家”系列家庭文明创建活动，获省“安全天府行”活动先进单位</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highlight w:val="none"/>
          <w:lang w:val="en-US" w:eastAsia="zh-CN"/>
        </w:rPr>
        <w:t>4.乡村振兴有新局面。</w:t>
      </w:r>
      <w:r>
        <w:rPr>
          <w:rFonts w:hint="default" w:ascii="Times New Roman" w:hAnsi="Times New Roman" w:eastAsia="仿宋_GB2312" w:cs="Times New Roman"/>
          <w:color w:val="auto"/>
          <w:sz w:val="32"/>
          <w:szCs w:val="32"/>
          <w:highlight w:val="none"/>
        </w:rPr>
        <w:t>召开“乡村振兴巾帼行动暨关爱女性健康宣传工作”现场推进会议</w:t>
      </w:r>
      <w:r>
        <w:rPr>
          <w:rFonts w:hint="default" w:ascii="Times New Roman" w:hAnsi="Times New Roman" w:eastAsia="仿宋_GB2312" w:cs="Times New Roman"/>
          <w:color w:val="auto"/>
          <w:sz w:val="32"/>
          <w:szCs w:val="32"/>
          <w:highlight w:val="none"/>
          <w:lang w:val="en-US" w:eastAsia="zh-CN"/>
        </w:rPr>
        <w:t>，评选市级乡村女能人52名，编印《盐都乡村巾帼追梦人》，</w:t>
      </w:r>
      <w:r>
        <w:rPr>
          <w:rFonts w:hint="default" w:ascii="Times New Roman" w:hAnsi="Times New Roman" w:eastAsia="仿宋_GB2312" w:cs="Times New Roman"/>
          <w:color w:val="auto"/>
          <w:sz w:val="32"/>
          <w:szCs w:val="32"/>
          <w:highlight w:val="none"/>
        </w:rPr>
        <w:t>命名</w:t>
      </w:r>
      <w:r>
        <w:rPr>
          <w:rFonts w:hint="default" w:ascii="Times New Roman" w:hAnsi="Times New Roman" w:eastAsia="仿宋_GB2312" w:cs="Times New Roman"/>
          <w:color w:val="auto"/>
          <w:sz w:val="32"/>
          <w:szCs w:val="32"/>
          <w:highlight w:val="none"/>
          <w:lang w:eastAsia="zh-CN"/>
        </w:rPr>
        <w:t>市级</w:t>
      </w:r>
      <w:r>
        <w:rPr>
          <w:rFonts w:hint="default" w:ascii="Times New Roman" w:hAnsi="Times New Roman" w:eastAsia="仿宋_GB2312" w:cs="Times New Roman"/>
          <w:color w:val="auto"/>
          <w:sz w:val="32"/>
          <w:szCs w:val="32"/>
          <w:highlight w:val="none"/>
        </w:rPr>
        <w:t>巾帼创新实践基地13个</w:t>
      </w:r>
      <w:r>
        <w:rPr>
          <w:rFonts w:hint="default" w:ascii="Times New Roman" w:hAnsi="Times New Roman" w:eastAsia="仿宋_GB2312" w:cs="Times New Roman"/>
          <w:color w:val="auto"/>
          <w:sz w:val="32"/>
          <w:szCs w:val="32"/>
          <w:highlight w:val="none"/>
          <w:lang w:eastAsia="zh-CN"/>
        </w:rPr>
        <w:t>，验收并成功申报</w:t>
      </w:r>
      <w:r>
        <w:rPr>
          <w:rFonts w:hint="default" w:ascii="Times New Roman" w:hAnsi="Times New Roman" w:eastAsia="仿宋_GB2312" w:cs="Times New Roman"/>
          <w:color w:val="auto"/>
          <w:sz w:val="32"/>
          <w:szCs w:val="32"/>
          <w:highlight w:val="none"/>
        </w:rPr>
        <w:t>省级妇女居家灵活就业基地</w:t>
      </w:r>
      <w:r>
        <w:rPr>
          <w:rFonts w:hint="default" w:ascii="Times New Roman" w:hAnsi="Times New Roman" w:eastAsia="仿宋_GB2312" w:cs="Times New Roman"/>
          <w:color w:val="auto"/>
          <w:sz w:val="32"/>
          <w:szCs w:val="32"/>
          <w:highlight w:val="none"/>
          <w:lang w:eastAsia="zh-CN"/>
        </w:rPr>
        <w:t>项目，争取资金</w:t>
      </w:r>
      <w:r>
        <w:rPr>
          <w:rFonts w:hint="default" w:ascii="Times New Roman" w:hAnsi="Times New Roman" w:eastAsia="仿宋_GB2312" w:cs="Times New Roman"/>
          <w:color w:val="auto"/>
          <w:sz w:val="32"/>
          <w:szCs w:val="32"/>
          <w:highlight w:val="none"/>
          <w:lang w:val="en-US" w:eastAsia="zh-CN"/>
        </w:rPr>
        <w:t>97万元，获省女大学生家庭服务创新创业大赛“最佳组织奖”</w:t>
      </w:r>
      <w:r>
        <w:rPr>
          <w:rFonts w:hint="default" w:ascii="Times New Roman" w:hAnsi="Times New Roman" w:eastAsia="仿宋_GB2312" w:cs="Times New Roman"/>
          <w:color w:val="auto"/>
          <w:sz w:val="32"/>
          <w:szCs w:val="32"/>
          <w:highlight w:val="none"/>
        </w:rPr>
        <w:t>。</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highlight w:val="none"/>
          <w:lang w:val="en-US" w:eastAsia="zh-CN"/>
        </w:rPr>
        <w:t>5.维权关爱有新亮点。</w:t>
      </w:r>
      <w:r>
        <w:rPr>
          <w:rFonts w:hint="default" w:ascii="Times New Roman" w:hAnsi="Times New Roman" w:eastAsia="仿宋_GB2312" w:cs="Times New Roman"/>
          <w:color w:val="auto"/>
          <w:sz w:val="32"/>
          <w:highlight w:val="none"/>
          <w:lang w:val="en-US" w:eastAsia="zh-CN"/>
        </w:rPr>
        <w:t>召开妇女儿童维权联动机制工作推</w:t>
      </w:r>
      <w:r>
        <w:rPr>
          <w:rFonts w:hint="default" w:ascii="Times New Roman" w:hAnsi="Times New Roman" w:eastAsia="仿宋_GB2312" w:cs="Times New Roman"/>
          <w:color w:val="auto"/>
          <w:sz w:val="32"/>
          <w:highlight w:val="none"/>
          <w:lang w:eastAsia="zh-CN"/>
        </w:rPr>
        <w:t>进会暨婚姻家庭调解工作现场会</w:t>
      </w:r>
      <w:r>
        <w:rPr>
          <w:rFonts w:hint="default" w:ascii="Times New Roman" w:hAnsi="Times New Roman" w:eastAsia="仿宋_GB2312" w:cs="Times New Roman"/>
          <w:color w:val="auto"/>
          <w:sz w:val="32"/>
          <w:szCs w:val="32"/>
          <w:highlight w:val="none"/>
          <w:lang w:eastAsia="zh-CN"/>
        </w:rPr>
        <w:t>，举办</w:t>
      </w:r>
      <w:r>
        <w:rPr>
          <w:rFonts w:hint="default" w:ascii="Times New Roman" w:hAnsi="Times New Roman" w:eastAsia="仿宋_GB2312" w:cs="Times New Roman"/>
          <w:color w:val="auto"/>
          <w:sz w:val="32"/>
          <w:szCs w:val="32"/>
          <w:highlight w:val="none"/>
        </w:rPr>
        <w:t>反家暴暨婚姻家庭纠纷调解专题培训</w:t>
      </w:r>
      <w:r>
        <w:rPr>
          <w:rFonts w:hint="default" w:ascii="Times New Roman" w:hAnsi="Times New Roman" w:eastAsia="仿宋_GB2312" w:cs="Times New Roman"/>
          <w:color w:val="auto"/>
          <w:sz w:val="32"/>
          <w:highlight w:val="none"/>
          <w:lang w:eastAsia="zh-CN"/>
        </w:rPr>
        <w:t>，自贡探索</w:t>
      </w:r>
      <w:r>
        <w:rPr>
          <w:rFonts w:hint="default" w:ascii="Times New Roman" w:hAnsi="Times New Roman" w:eastAsia="仿宋_GB2312" w:cs="Times New Roman"/>
          <w:color w:val="auto"/>
          <w:sz w:val="32"/>
          <w:highlight w:val="none"/>
          <w:lang w:val="en-US" w:eastAsia="zh-CN"/>
        </w:rPr>
        <w:t>“1443”工作法</w:t>
      </w:r>
      <w:r>
        <w:rPr>
          <w:rFonts w:hint="default" w:ascii="Times New Roman" w:hAnsi="Times New Roman" w:eastAsia="仿宋_GB2312" w:cs="Times New Roman"/>
          <w:color w:val="auto"/>
          <w:sz w:val="32"/>
          <w:highlight w:val="none"/>
          <w:lang w:eastAsia="zh-CN"/>
        </w:rPr>
        <w:t>构筑</w:t>
      </w:r>
      <w:r>
        <w:rPr>
          <w:rFonts w:hint="default" w:ascii="Times New Roman" w:hAnsi="Times New Roman" w:eastAsia="仿宋_GB2312" w:cs="Times New Roman"/>
          <w:color w:val="auto"/>
          <w:sz w:val="32"/>
          <w:szCs w:val="32"/>
          <w:highlight w:val="none"/>
        </w:rPr>
        <w:t>“红梅花开·和美之家”</w:t>
      </w:r>
      <w:r>
        <w:rPr>
          <w:rFonts w:hint="default" w:ascii="Times New Roman" w:hAnsi="Times New Roman" w:eastAsia="仿宋_GB2312" w:cs="Times New Roman"/>
          <w:color w:val="auto"/>
          <w:sz w:val="32"/>
          <w:highlight w:val="none"/>
          <w:lang w:eastAsia="zh-CN"/>
        </w:rPr>
        <w:t>在省妇联作交流发言，获</w:t>
      </w:r>
      <w:r>
        <w:rPr>
          <w:rFonts w:hint="default" w:ascii="Times New Roman" w:hAnsi="Times New Roman" w:eastAsia="仿宋_GB2312" w:cs="Times New Roman"/>
          <w:color w:val="auto"/>
          <w:sz w:val="32"/>
          <w:szCs w:val="32"/>
          <w:highlight w:val="none"/>
          <w:lang w:val="en-US" w:eastAsia="zh-CN"/>
        </w:rPr>
        <w:t>全国维护妇女儿童权益先进集体</w:t>
      </w:r>
      <w:r>
        <w:rPr>
          <w:rFonts w:hint="default" w:ascii="Times New Roman" w:hAnsi="Times New Roman" w:eastAsia="仿宋_GB2312" w:cs="Times New Roman"/>
          <w:color w:val="auto"/>
          <w:sz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先进个人各一个。</w:t>
      </w:r>
      <w:r>
        <w:rPr>
          <w:rFonts w:hint="default" w:ascii="Times New Roman" w:hAnsi="Times New Roman" w:eastAsia="仿宋_GB2312" w:cs="Times New Roman"/>
          <w:color w:val="auto"/>
          <w:sz w:val="32"/>
          <w:highlight w:val="none"/>
          <w:lang w:eastAsia="zh-CN"/>
        </w:rPr>
        <w:t>线上</w:t>
      </w:r>
      <w:r>
        <w:rPr>
          <w:rFonts w:hint="default" w:ascii="Times New Roman" w:hAnsi="Times New Roman" w:eastAsia="仿宋_GB2312" w:cs="Times New Roman"/>
          <w:color w:val="auto"/>
          <w:sz w:val="32"/>
          <w:szCs w:val="32"/>
          <w:highlight w:val="none"/>
          <w:lang w:eastAsia="zh-CN"/>
        </w:rPr>
        <w:t>推送原创普法栏目</w:t>
      </w:r>
      <w:r>
        <w:rPr>
          <w:rFonts w:hint="default" w:ascii="Times New Roman" w:hAnsi="Times New Roman" w:eastAsia="仿宋_GB2312" w:cs="Times New Roman"/>
          <w:color w:val="auto"/>
          <w:sz w:val="32"/>
          <w:szCs w:val="32"/>
          <w:highlight w:val="none"/>
          <w:lang w:val="en-US" w:eastAsia="zh-CN"/>
        </w:rPr>
        <w:t>56期。</w:t>
      </w:r>
      <w:r>
        <w:rPr>
          <w:rFonts w:hint="default" w:ascii="Times New Roman" w:hAnsi="Times New Roman" w:eastAsia="仿宋_GB2312" w:cs="Times New Roman"/>
          <w:color w:val="auto"/>
          <w:sz w:val="32"/>
          <w:szCs w:val="32"/>
          <w:highlight w:val="none"/>
          <w:lang w:eastAsia="zh-CN"/>
        </w:rPr>
        <w:t>配合开展“两癌”筛</w:t>
      </w:r>
      <w:r>
        <w:rPr>
          <w:rFonts w:hint="default" w:ascii="Times New Roman" w:hAnsi="Times New Roman" w:eastAsia="仿宋_GB2312" w:cs="Times New Roman"/>
          <w:color w:val="auto"/>
          <w:sz w:val="32"/>
          <w:szCs w:val="32"/>
          <w:highlight w:val="none"/>
          <w:lang w:val="en-US" w:eastAsia="zh-CN"/>
        </w:rPr>
        <w:t>查4.8万人，发放“两癌”救助金253万元，赠送“两癌”保险和“贡惠保”2850份。元旦</w:t>
      </w:r>
      <w:r>
        <w:rPr>
          <w:rFonts w:hint="default" w:ascii="Times New Roman" w:hAnsi="Times New Roman" w:eastAsia="仿宋_GB2312" w:cs="Times New Roman"/>
          <w:color w:val="auto"/>
          <w:sz w:val="32"/>
          <w:szCs w:val="32"/>
          <w:highlight w:val="none"/>
          <w:lang w:eastAsia="zh-CN"/>
        </w:rPr>
        <w:t>春节期间</w:t>
      </w:r>
      <w:r>
        <w:rPr>
          <w:rFonts w:hint="default" w:ascii="Times New Roman" w:hAnsi="Times New Roman" w:eastAsia="仿宋_GB2312" w:cs="Times New Roman"/>
          <w:color w:val="auto"/>
          <w:sz w:val="32"/>
          <w:szCs w:val="32"/>
          <w:highlight w:val="none"/>
          <w:lang w:val="en-US" w:eastAsia="zh-CN"/>
        </w:rPr>
        <w:t>为全市1200余个留守儿童、困难妇女等群体送去价值20余万元的物资。</w:t>
      </w:r>
      <w:r>
        <w:rPr>
          <w:rFonts w:hint="default" w:ascii="Times New Roman" w:hAnsi="Times New Roman" w:eastAsia="仿宋_GB2312" w:cs="Times New Roman"/>
          <w:color w:val="auto"/>
          <w:sz w:val="32"/>
          <w:szCs w:val="32"/>
          <w:highlight w:val="none"/>
          <w:lang w:eastAsia="zh-CN"/>
        </w:rPr>
        <w:t>发放</w:t>
      </w:r>
      <w:r>
        <w:rPr>
          <w:rFonts w:hint="default" w:ascii="Times New Roman" w:hAnsi="Times New Roman" w:eastAsia="仿宋_GB2312" w:cs="Times New Roman"/>
          <w:color w:val="auto"/>
          <w:sz w:val="32"/>
          <w:szCs w:val="32"/>
          <w:highlight w:val="none"/>
          <w:lang w:val="en-US" w:eastAsia="zh-CN"/>
        </w:rPr>
        <w:t>2022年“春蕾计划”助学金6.82万元</w:t>
      </w:r>
      <w:r>
        <w:rPr>
          <w:rFonts w:hint="default" w:ascii="Times New Roman" w:hAnsi="Times New Roman" w:eastAsia="仿宋_GB2312" w:cs="Times New Roman"/>
          <w:color w:val="auto"/>
          <w:sz w:val="32"/>
          <w:szCs w:val="32"/>
          <w:highlight w:val="none"/>
          <w:lang w:eastAsia="zh-CN"/>
        </w:rPr>
        <w:t>，惠及</w:t>
      </w:r>
      <w:r>
        <w:rPr>
          <w:rFonts w:hint="default" w:ascii="Times New Roman" w:hAnsi="Times New Roman" w:eastAsia="仿宋_GB2312" w:cs="Times New Roman"/>
          <w:color w:val="auto"/>
          <w:sz w:val="32"/>
          <w:szCs w:val="32"/>
          <w:highlight w:val="none"/>
          <w:lang w:val="en-US" w:eastAsia="zh-CN"/>
        </w:rPr>
        <w:t>80名困难女童。</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highlight w:val="none"/>
          <w:lang w:val="en-US" w:eastAsia="zh-CN"/>
        </w:rPr>
        <w:t>6.巾帼建功有新作为。</w:t>
      </w:r>
      <w:r>
        <w:rPr>
          <w:rFonts w:hint="default" w:ascii="Times New Roman" w:hAnsi="Times New Roman" w:eastAsia="仿宋_GB2312" w:cs="Times New Roman"/>
          <w:color w:val="auto"/>
          <w:sz w:val="32"/>
          <w:szCs w:val="32"/>
          <w:highlight w:val="none"/>
          <w:lang w:val="en-US" w:eastAsia="zh-CN"/>
        </w:rPr>
        <w:t>成功申报省巾帼文明岗6个、巾帼建功标兵2个、巾帼建功先进集体1个，发动96个单位参与市级巾帼文明岗创建。联合开展第九届“让爱回家·守护成长”招聘会和“五件实事”工作，提供岗位约5.98万个，帮助2000余人就业。</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（三）结果应用情况</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202</w:t>
      </w:r>
      <w:r>
        <w:rPr>
          <w:rFonts w:hint="eastAsia" w:ascii="Times New Roman" w:hAnsi="Times New Roman" w:eastAsia="仿宋_GB2312" w:cs="Times New Roman"/>
          <w:kern w:val="2"/>
          <w:sz w:val="32"/>
          <w:szCs w:val="24"/>
          <w:highlight w:val="none"/>
          <w:lang w:val="en-US" w:eastAsia="zh-CN" w:bidi="ar-SA"/>
        </w:rPr>
        <w:t>3</w:t>
      </w:r>
      <w:r>
        <w:rPr>
          <w:rFonts w:hint="default" w:ascii="Times New Roman" w:hAnsi="Times New Roman" w:eastAsia="仿宋_GB2312" w:cs="Times New Roman"/>
          <w:kern w:val="2"/>
          <w:sz w:val="32"/>
          <w:szCs w:val="24"/>
          <w:highlight w:val="none"/>
          <w:lang w:val="zh-CN" w:eastAsia="zh-CN" w:bidi="ar-SA"/>
        </w:rPr>
        <w:t>年，根据我部门年初工作</w:t>
      </w:r>
      <w:r>
        <w:rPr>
          <w:rFonts w:hint="eastAsia" w:ascii="Times New Roman" w:hAnsi="Times New Roman" w:eastAsia="仿宋_GB2312" w:cs="Times New Roman"/>
          <w:kern w:val="2"/>
          <w:sz w:val="32"/>
          <w:szCs w:val="24"/>
          <w:highlight w:val="none"/>
          <w:lang w:val="zh-CN" w:eastAsia="zh-CN" w:bidi="ar-SA"/>
        </w:rPr>
        <w:t>计划</w:t>
      </w:r>
      <w:r>
        <w:rPr>
          <w:rFonts w:hint="default" w:ascii="Times New Roman" w:hAnsi="Times New Roman" w:eastAsia="仿宋_GB2312" w:cs="Times New Roman"/>
          <w:kern w:val="2"/>
          <w:sz w:val="32"/>
          <w:szCs w:val="24"/>
          <w:highlight w:val="none"/>
          <w:lang w:val="zh-CN" w:eastAsia="zh-CN" w:bidi="ar-SA"/>
        </w:rPr>
        <w:t>，落实全会重点工作部署，积极履职，强化管理，较好的完成了年度工作目标。通过加强预算收支管理，不断建立健全内部管理制度，梳理内部管理流程，部门整体支出管理情况得到提升。根据项目开展的自评情况，</w:t>
      </w:r>
      <w:r>
        <w:rPr>
          <w:rFonts w:hint="eastAsia" w:ascii="Times New Roman" w:hAnsi="Times New Roman" w:eastAsia="仿宋_GB2312" w:cs="Times New Roman"/>
          <w:kern w:val="2"/>
          <w:sz w:val="32"/>
          <w:szCs w:val="24"/>
          <w:highlight w:val="none"/>
          <w:lang w:val="zh-CN" w:eastAsia="zh-CN" w:bidi="ar-SA"/>
        </w:rPr>
        <w:t>我会</w:t>
      </w:r>
      <w:r>
        <w:rPr>
          <w:rFonts w:hint="default" w:ascii="Times New Roman" w:hAnsi="Times New Roman" w:eastAsia="仿宋_GB2312" w:cs="Times New Roman"/>
          <w:kern w:val="2"/>
          <w:sz w:val="32"/>
          <w:szCs w:val="24"/>
          <w:highlight w:val="none"/>
          <w:lang w:val="zh-CN" w:eastAsia="zh-CN" w:bidi="ar-SA"/>
        </w:rPr>
        <w:t>202</w:t>
      </w:r>
      <w:r>
        <w:rPr>
          <w:rFonts w:hint="eastAsia" w:ascii="Times New Roman" w:hAnsi="Times New Roman" w:eastAsia="仿宋_GB2312" w:cs="Times New Roman"/>
          <w:kern w:val="2"/>
          <w:sz w:val="32"/>
          <w:szCs w:val="24"/>
          <w:highlight w:val="none"/>
          <w:lang w:val="en-US" w:eastAsia="zh-CN" w:bidi="ar-SA"/>
        </w:rPr>
        <w:t>3年</w:t>
      </w:r>
      <w:r>
        <w:rPr>
          <w:rFonts w:hint="default" w:ascii="Times New Roman" w:hAnsi="Times New Roman" w:eastAsia="仿宋_GB2312" w:cs="Times New Roman"/>
          <w:kern w:val="2"/>
          <w:sz w:val="32"/>
          <w:szCs w:val="24"/>
          <w:highlight w:val="none"/>
          <w:lang w:val="zh-CN" w:eastAsia="zh-CN" w:bidi="ar-SA"/>
        </w:rPr>
        <w:t>较好的完成了年初设定的各项绩效目标，</w:t>
      </w:r>
      <w:r>
        <w:rPr>
          <w:rFonts w:hint="eastAsia" w:ascii="Times New Roman" w:hAnsi="Times New Roman" w:eastAsia="仿宋_GB2312" w:cs="Times New Roman"/>
          <w:kern w:val="2"/>
          <w:sz w:val="32"/>
          <w:szCs w:val="24"/>
          <w:highlight w:val="none"/>
          <w:lang w:val="zh-CN" w:eastAsia="zh-CN" w:bidi="ar-SA"/>
        </w:rPr>
        <w:t>自评</w:t>
      </w:r>
      <w:r>
        <w:rPr>
          <w:rFonts w:hint="default" w:ascii="Times New Roman" w:hAnsi="Times New Roman" w:eastAsia="仿宋_GB2312" w:cs="Times New Roman"/>
          <w:kern w:val="2"/>
          <w:sz w:val="32"/>
          <w:szCs w:val="24"/>
          <w:highlight w:val="none"/>
          <w:lang w:val="zh-CN" w:eastAsia="zh-CN" w:bidi="ar-SA"/>
        </w:rPr>
        <w:t>结果为优秀。</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本年预算配置控制较好。财政供养人员控制在预算编制以内，编制内在职人员控制率小于100%。</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预算执行方面。支出总额控制在预算总额以内，除专项预算的追加和政策性工资绩效预算的追加外，本年部门预算未进行预算相关事项的调整，不存在截留或滞留专项资金情况。</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预算管理方面，制度执行总体较为有效，仍需进一步强化；资金使用管理需进一步加强。资产管理方面，建立了资产管理制度，定期进行了盘点和资产清理，总体执行较好。</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（四）</w:t>
      </w:r>
      <w:r>
        <w:rPr>
          <w:rFonts w:hint="default" w:ascii="Times New Roman" w:hAnsi="Times New Roman" w:eastAsia="楷体_GB2312" w:cs="Times New Roman"/>
          <w:b/>
          <w:bCs/>
          <w:color w:val="000000"/>
          <w:kern w:val="0"/>
          <w:sz w:val="32"/>
          <w:szCs w:val="32"/>
          <w:highlight w:val="none"/>
          <w:shd w:val="clear" w:color="auto" w:fill="FFFFFF"/>
          <w:lang w:val="zh-CN"/>
        </w:rPr>
        <w:t>自评质量</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sz w:val="32"/>
          <w:szCs w:val="32"/>
          <w:highlight w:val="none"/>
          <w:lang w:eastAsia="zh-CN"/>
        </w:rPr>
      </w:pPr>
      <w:r>
        <w:rPr>
          <w:rFonts w:hint="default" w:ascii="Times New Roman" w:hAnsi="Times New Roman" w:eastAsia="仿宋_GB2312" w:cs="Times New Roman"/>
          <w:sz w:val="32"/>
          <w:szCs w:val="32"/>
          <w:highlight w:val="none"/>
        </w:rPr>
        <w:t>本部门按要求对202</w:t>
      </w:r>
      <w:r>
        <w:rPr>
          <w:rFonts w:hint="eastAsia" w:ascii="Times New Roman" w:hAnsi="Times New Roman" w:cs="Times New Roman"/>
          <w:sz w:val="32"/>
          <w:szCs w:val="32"/>
          <w:highlight w:val="none"/>
          <w:lang w:val="en-US" w:eastAsia="zh-CN"/>
        </w:rPr>
        <w:t>3</w:t>
      </w:r>
      <w:r>
        <w:rPr>
          <w:rFonts w:hint="default" w:ascii="Times New Roman" w:hAnsi="Times New Roman" w:eastAsia="仿宋_GB2312" w:cs="Times New Roman"/>
          <w:sz w:val="32"/>
          <w:szCs w:val="32"/>
          <w:highlight w:val="none"/>
        </w:rPr>
        <w:t>年部门整体支出开展绩效自评，从评价情况来看</w:t>
      </w:r>
      <w:r>
        <w:rPr>
          <w:rFonts w:hint="default" w:ascii="Times New Roman" w:hAnsi="Times New Roman" w:cs="Times New Roman"/>
          <w:szCs w:val="32"/>
          <w:highlight w:val="none"/>
          <w:lang w:eastAsia="zh-CN"/>
        </w:rPr>
        <w:t>自贡市妇女联合会</w:t>
      </w:r>
      <w:r>
        <w:rPr>
          <w:rFonts w:hint="default" w:ascii="Times New Roman" w:hAnsi="Times New Roman" w:cs="Times New Roman"/>
          <w:szCs w:val="32"/>
          <w:highlight w:val="none"/>
        </w:rPr>
        <w:t>较完整地编制了计划、依据、当年要完成的工作任务和预期要完成的绩效目标。在部门重点工作保障方面，绩效目标进一步明确和量化，能较完整、合理反映部门年度职责履行情况。</w:t>
      </w:r>
      <w:r>
        <w:rPr>
          <w:rFonts w:hint="default" w:ascii="Times New Roman" w:hAnsi="Times New Roman" w:eastAsia="仿宋_GB2312" w:cs="Times New Roman"/>
          <w:sz w:val="32"/>
          <w:szCs w:val="32"/>
          <w:highlight w:val="none"/>
        </w:rPr>
        <w:t>从评价情况来看</w:t>
      </w:r>
      <w:r>
        <w:rPr>
          <w:rFonts w:hint="default" w:ascii="Times New Roman" w:hAnsi="Times New Roman" w:cs="Times New Roman"/>
          <w:sz w:val="32"/>
          <w:szCs w:val="32"/>
          <w:highlight w:val="none"/>
          <w:lang w:eastAsia="zh-CN"/>
        </w:rPr>
        <w:t>，项目年初预算科学合理、项目资金使用规范、项目进度动态监控、项目绩效目标完成较好。</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黑体" w:cs="Times New Roman"/>
          <w:color w:val="000000"/>
          <w:kern w:val="0"/>
          <w:sz w:val="32"/>
          <w:szCs w:val="32"/>
          <w:highlight w:val="none"/>
          <w:shd w:val="clear" w:color="auto" w:fill="FFFFFF"/>
        </w:rPr>
      </w:pPr>
      <w:r>
        <w:rPr>
          <w:rFonts w:hint="eastAsia"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zh-CN"/>
        </w:rPr>
        <w:t>结合部门预算申报与绩效目标和实际完成情况对比分析，反映出我</w:t>
      </w:r>
      <w:r>
        <w:rPr>
          <w:rFonts w:hint="default" w:ascii="Times New Roman" w:hAnsi="Times New Roman" w:cs="Times New Roman"/>
          <w:highlight w:val="none"/>
          <w:lang w:val="en-US" w:eastAsia="zh-CN"/>
        </w:rPr>
        <w:t>部门</w:t>
      </w:r>
      <w:r>
        <w:rPr>
          <w:rFonts w:hint="default" w:ascii="Times New Roman" w:hAnsi="Times New Roman" w:cs="Times New Roman"/>
          <w:highlight w:val="none"/>
          <w:lang w:val="zh-CN"/>
        </w:rPr>
        <w:t>对</w:t>
      </w:r>
      <w:r>
        <w:rPr>
          <w:rFonts w:hint="eastAsia" w:ascii="Times New Roman" w:hAnsi="Times New Roman" w:cs="Times New Roman"/>
          <w:highlight w:val="none"/>
          <w:lang w:val="zh-CN"/>
        </w:rPr>
        <w:t>预算编制、执行，</w:t>
      </w:r>
      <w:r>
        <w:rPr>
          <w:rFonts w:hint="default" w:ascii="Times New Roman" w:hAnsi="Times New Roman" w:cs="Times New Roman"/>
          <w:highlight w:val="none"/>
          <w:lang w:val="zh-CN"/>
        </w:rPr>
        <w:t>绩效目标管理工作</w:t>
      </w:r>
      <w:r>
        <w:rPr>
          <w:rFonts w:hint="eastAsia" w:ascii="Times New Roman" w:hAnsi="Times New Roman" w:cs="Times New Roman"/>
          <w:highlight w:val="none"/>
          <w:lang w:val="zh-CN"/>
        </w:rPr>
        <w:t>高度</w:t>
      </w:r>
      <w:r>
        <w:rPr>
          <w:rFonts w:hint="default" w:ascii="Times New Roman" w:hAnsi="Times New Roman" w:cs="Times New Roman"/>
          <w:highlight w:val="none"/>
          <w:lang w:val="zh-CN"/>
        </w:rPr>
        <w:t>重视，认真、全面</w:t>
      </w:r>
      <w:r>
        <w:rPr>
          <w:rFonts w:hint="eastAsia" w:ascii="Times New Roman" w:hAnsi="Times New Roman" w:cs="Times New Roman"/>
          <w:highlight w:val="none"/>
          <w:lang w:val="zh-CN"/>
        </w:rPr>
        <w:t>地</w:t>
      </w:r>
      <w:r>
        <w:rPr>
          <w:rFonts w:hint="default" w:ascii="Times New Roman" w:hAnsi="Times New Roman" w:cs="Times New Roman"/>
          <w:highlight w:val="none"/>
          <w:lang w:val="zh-CN"/>
        </w:rPr>
        <w:t>开展申报工作。</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 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zh-CN"/>
        </w:rPr>
        <w:t>根据项目开展的自评情况，</w:t>
      </w:r>
      <w:r>
        <w:rPr>
          <w:rFonts w:hint="eastAsia" w:ascii="Times New Roman" w:hAnsi="Times New Roman" w:cs="Times New Roman"/>
          <w:highlight w:val="none"/>
          <w:lang w:val="zh-CN"/>
        </w:rPr>
        <w:t>我会</w:t>
      </w:r>
      <w:r>
        <w:rPr>
          <w:rFonts w:hint="default" w:ascii="Times New Roman" w:hAnsi="Times New Roman" w:cs="Times New Roman"/>
          <w:highlight w:val="none"/>
          <w:lang w:val="zh-CN"/>
        </w:rPr>
        <w:t>202</w:t>
      </w:r>
      <w:r>
        <w:rPr>
          <w:rFonts w:hint="eastAsia" w:cs="Times New Roman"/>
          <w:highlight w:val="none"/>
          <w:lang w:val="en-US" w:eastAsia="zh-CN"/>
        </w:rPr>
        <w:t>3</w:t>
      </w:r>
      <w:r>
        <w:rPr>
          <w:rFonts w:hint="default" w:ascii="Times New Roman" w:hAnsi="Times New Roman" w:cs="Times New Roman"/>
          <w:highlight w:val="none"/>
          <w:lang w:val="zh-CN"/>
        </w:rPr>
        <w:t>年度较好的完成了年初设定的各项项目绩效目标，</w:t>
      </w:r>
      <w:r>
        <w:rPr>
          <w:rFonts w:hint="eastAsia" w:ascii="Times New Roman" w:hAnsi="Times New Roman" w:cs="Times New Roman"/>
          <w:highlight w:val="none"/>
          <w:lang w:val="zh-CN"/>
        </w:rPr>
        <w:t>自评</w:t>
      </w:r>
      <w:r>
        <w:rPr>
          <w:rFonts w:hint="default" w:ascii="Times New Roman" w:hAnsi="Times New Roman" w:cs="Times New Roman"/>
          <w:highlight w:val="none"/>
          <w:lang w:val="zh-CN"/>
        </w:rPr>
        <w:t>结果为优秀。</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cs="Times New Roman"/>
          <w:color w:val="000000"/>
          <w:kern w:val="0"/>
          <w:szCs w:val="32"/>
          <w:highlight w:val="none"/>
          <w:shd w:val="clear" w:color="auto" w:fill="FFFFFF"/>
          <w:lang w:val="zh-CN"/>
        </w:rPr>
      </w:pPr>
      <w:r>
        <w:rPr>
          <w:rFonts w:ascii="Times New Roman" w:hAnsi="Times New Roman" w:eastAsia="仿宋_GB2312"/>
          <w:b/>
          <w:bCs/>
          <w:color w:val="auto"/>
          <w:kern w:val="2"/>
          <w:sz w:val="32"/>
          <w:szCs w:val="32"/>
          <w:highlight w:val="none"/>
          <w:shd w:val="clear" w:color="auto" w:fill="FFFFFF"/>
          <w:lang w:val="en-US" w:eastAsia="zh-CN" w:bidi="ar-SA"/>
        </w:rPr>
        <w:t>部分</w:t>
      </w:r>
      <w:r>
        <w:rPr>
          <w:rFonts w:hint="eastAsia" w:eastAsia="仿宋_GB2312"/>
          <w:b/>
          <w:bCs/>
          <w:color w:val="auto"/>
          <w:kern w:val="2"/>
          <w:sz w:val="32"/>
          <w:szCs w:val="32"/>
          <w:highlight w:val="none"/>
          <w:shd w:val="clear" w:color="auto" w:fill="FFFFFF"/>
          <w:lang w:val="en-US" w:eastAsia="zh-CN" w:bidi="ar-SA"/>
        </w:rPr>
        <w:t>项目</w:t>
      </w:r>
      <w:r>
        <w:rPr>
          <w:rFonts w:ascii="Times New Roman" w:hAnsi="Times New Roman" w:eastAsia="仿宋_GB2312"/>
          <w:b/>
          <w:bCs/>
          <w:color w:val="auto"/>
          <w:kern w:val="2"/>
          <w:sz w:val="32"/>
          <w:szCs w:val="32"/>
          <w:highlight w:val="none"/>
          <w:shd w:val="clear" w:color="auto" w:fill="FFFFFF"/>
          <w:lang w:val="en-US" w:eastAsia="zh-CN" w:bidi="ar-SA"/>
        </w:rPr>
        <w:t>绩效目标指标编制不</w:t>
      </w:r>
      <w:r>
        <w:rPr>
          <w:rFonts w:hint="eastAsia"/>
          <w:b/>
          <w:bCs/>
          <w:color w:val="auto"/>
          <w:kern w:val="2"/>
          <w:sz w:val="32"/>
          <w:szCs w:val="32"/>
          <w:highlight w:val="none"/>
          <w:shd w:val="clear" w:color="auto" w:fill="FFFFFF"/>
          <w:lang w:val="en-US" w:eastAsia="zh-CN" w:bidi="ar-SA"/>
        </w:rPr>
        <w:t>够精细</w:t>
      </w:r>
      <w:r>
        <w:rPr>
          <w:rFonts w:ascii="Times New Roman" w:hAnsi="Times New Roman" w:eastAsia="仿宋_GB2312"/>
          <w:b/>
          <w:bCs/>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如项</w:t>
      </w:r>
      <w:r>
        <w:rPr>
          <w:rFonts w:ascii="Times New Roman" w:hAnsi="Times New Roman" w:eastAsia="仿宋_GB2312"/>
          <w:color w:val="auto"/>
          <w:kern w:val="2"/>
          <w:sz w:val="32"/>
          <w:szCs w:val="32"/>
          <w:highlight w:val="none"/>
          <w:shd w:val="clear" w:color="auto" w:fill="FFFFFF"/>
          <w:lang w:val="en-US" w:eastAsia="zh-CN" w:bidi="ar-SA"/>
        </w:rPr>
        <w:t>目预算编制中定性指标较多，量化指标较少</w:t>
      </w:r>
      <w:r>
        <w:rPr>
          <w:rFonts w:hint="eastAsia" w:eastAsia="仿宋_GB2312"/>
          <w:color w:val="auto"/>
          <w:kern w:val="2"/>
          <w:sz w:val="32"/>
          <w:szCs w:val="32"/>
          <w:highlight w:val="none"/>
          <w:shd w:val="clear" w:color="auto" w:fill="FFFFFF"/>
          <w:lang w:val="en-US" w:eastAsia="zh-CN" w:bidi="ar-SA"/>
        </w:rPr>
        <w:t>，</w:t>
      </w:r>
      <w:r>
        <w:rPr>
          <w:rFonts w:hint="eastAsia"/>
          <w:color w:val="auto"/>
          <w:kern w:val="2"/>
          <w:sz w:val="32"/>
          <w:szCs w:val="32"/>
          <w:highlight w:val="none"/>
          <w:shd w:val="clear" w:color="auto" w:fill="FFFFFF"/>
          <w:lang w:val="en-US" w:eastAsia="zh-CN" w:bidi="ar-SA"/>
        </w:rPr>
        <w:t>且实际开展的重点工作同年初工作计划有变化，</w:t>
      </w:r>
      <w:r>
        <w:rPr>
          <w:rFonts w:hint="eastAsia" w:eastAsia="仿宋_GB2312"/>
          <w:color w:val="auto"/>
          <w:kern w:val="2"/>
          <w:sz w:val="32"/>
          <w:szCs w:val="32"/>
          <w:highlight w:val="none"/>
          <w:shd w:val="clear" w:color="auto" w:fill="FFFFFF"/>
          <w:lang w:val="en-US" w:eastAsia="zh-CN" w:bidi="ar-SA"/>
        </w:rPr>
        <w:t>内容</w:t>
      </w:r>
      <w:r>
        <w:rPr>
          <w:rFonts w:hint="eastAsia"/>
          <w:color w:val="auto"/>
          <w:kern w:val="2"/>
          <w:sz w:val="32"/>
          <w:szCs w:val="32"/>
          <w:highlight w:val="none"/>
          <w:shd w:val="clear" w:color="auto" w:fill="FFFFFF"/>
          <w:lang w:val="en-US" w:eastAsia="zh-CN" w:bidi="ar-SA"/>
        </w:rPr>
        <w:t>上</w:t>
      </w:r>
      <w:r>
        <w:rPr>
          <w:rFonts w:hint="eastAsia" w:eastAsia="仿宋_GB2312"/>
          <w:color w:val="auto"/>
          <w:kern w:val="2"/>
          <w:sz w:val="32"/>
          <w:szCs w:val="32"/>
          <w:highlight w:val="none"/>
          <w:shd w:val="clear" w:color="auto" w:fill="FFFFFF"/>
          <w:lang w:val="en-US" w:eastAsia="zh-CN" w:bidi="ar-SA"/>
        </w:rPr>
        <w:t>突出关键和差异化</w:t>
      </w:r>
      <w:r>
        <w:rPr>
          <w:rFonts w:hint="eastAsia"/>
          <w:color w:val="auto"/>
          <w:kern w:val="2"/>
          <w:sz w:val="32"/>
          <w:szCs w:val="32"/>
          <w:highlight w:val="none"/>
          <w:shd w:val="clear" w:color="auto" w:fill="FFFFFF"/>
          <w:lang w:val="en-US" w:eastAsia="zh-CN" w:bidi="ar-SA"/>
        </w:rPr>
        <w:t>不够精细</w:t>
      </w:r>
      <w:r>
        <w:rPr>
          <w:rFonts w:hint="default" w:ascii="Times New Roman" w:hAnsi="Times New Roman" w:cs="Times New Roman"/>
          <w:color w:val="000000"/>
          <w:kern w:val="0"/>
          <w:szCs w:val="32"/>
          <w:highlight w:val="none"/>
          <w:shd w:val="clear" w:color="auto" w:fill="FFFFFF"/>
          <w:lang w:val="zh-CN"/>
        </w:rPr>
        <w:t>。</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2"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改进建议</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color w:val="000000"/>
          <w:highlight w:val="none"/>
          <w:u w:val="single"/>
        </w:rPr>
      </w:pPr>
      <w:r>
        <w:rPr>
          <w:rFonts w:hint="default" w:ascii="Times New Roman" w:hAnsi="Times New Roman" w:eastAsia="仿宋_GB2312" w:cs="Times New Roman"/>
          <w:color w:val="000000"/>
          <w:kern w:val="0"/>
          <w:sz w:val="32"/>
          <w:szCs w:val="32"/>
          <w:highlight w:val="none"/>
          <w:shd w:val="clear" w:color="auto" w:fill="FFFFFF"/>
          <w:lang w:val="zh-CN" w:eastAsia="zh-CN" w:bidi="ar-SA"/>
        </w:rPr>
        <w:t>下一步，</w:t>
      </w:r>
      <w:r>
        <w:rPr>
          <w:rFonts w:hint="eastAsia" w:ascii="Times New Roman" w:hAnsi="Times New Roman" w:cs="Times New Roman"/>
          <w:color w:val="000000"/>
          <w:kern w:val="0"/>
          <w:sz w:val="32"/>
          <w:szCs w:val="32"/>
          <w:highlight w:val="none"/>
          <w:shd w:val="clear" w:color="auto" w:fill="FFFFFF"/>
          <w:lang w:val="zh-CN" w:eastAsia="zh-CN" w:bidi="ar-SA"/>
        </w:rPr>
        <w:t>我会</w:t>
      </w:r>
      <w:r>
        <w:rPr>
          <w:rFonts w:hint="default" w:ascii="Times New Roman" w:hAnsi="Times New Roman" w:eastAsia="仿宋_GB2312" w:cs="Times New Roman"/>
          <w:color w:val="000000"/>
          <w:kern w:val="0"/>
          <w:sz w:val="32"/>
          <w:szCs w:val="32"/>
          <w:highlight w:val="none"/>
          <w:shd w:val="clear" w:color="auto" w:fill="FFFFFF"/>
          <w:lang w:val="zh-CN" w:eastAsia="zh-CN" w:bidi="ar-SA"/>
        </w:rPr>
        <w:t>将严格按照相关规定，进一步完善内部绩效监控机制，加强绩效管理制度建设。</w:t>
      </w:r>
      <w:r>
        <w:rPr>
          <w:rFonts w:hint="eastAsia" w:ascii="Times New Roman" w:hAnsi="Times New Roman" w:cs="Times New Roman"/>
          <w:b/>
          <w:bCs/>
          <w:color w:val="000000"/>
          <w:kern w:val="0"/>
          <w:sz w:val="32"/>
          <w:szCs w:val="32"/>
          <w:highlight w:val="none"/>
          <w:shd w:val="clear" w:color="auto" w:fill="FFFFFF"/>
          <w:lang w:val="zh-CN" w:eastAsia="zh-CN" w:bidi="ar-SA"/>
        </w:rPr>
        <w:t>一是</w:t>
      </w:r>
      <w:r>
        <w:rPr>
          <w:rFonts w:hint="eastAsia" w:ascii="CESI仿宋-GB2312" w:hAnsi="CESI仿宋-GB2312" w:eastAsia="CESI仿宋-GB2312" w:cs="CESI仿宋-GB2312"/>
          <w:kern w:val="2"/>
          <w:sz w:val="32"/>
          <w:szCs w:val="32"/>
          <w:highlight w:val="none"/>
          <w:shd w:val="clear" w:color="auto" w:fill="FFFFFF"/>
          <w:lang w:val="en-US" w:eastAsia="zh-CN" w:bidi="ar-SA"/>
        </w:rPr>
        <w:t>办公室加强对业务科室的培训，</w:t>
      </w:r>
      <w:r>
        <w:rPr>
          <w:rFonts w:ascii="Times New Roman" w:hAnsi="Times New Roman" w:eastAsia="仿宋_GB2312"/>
          <w:color w:val="auto"/>
          <w:kern w:val="2"/>
          <w:sz w:val="32"/>
          <w:szCs w:val="32"/>
          <w:highlight w:val="none"/>
          <w:shd w:val="clear" w:color="auto" w:fill="FFFFFF"/>
          <w:lang w:val="en-US" w:eastAsia="zh-CN" w:bidi="ar-SA"/>
        </w:rPr>
        <w:t>各部（室）对项目预算编制</w:t>
      </w:r>
      <w:r>
        <w:rPr>
          <w:rFonts w:hint="eastAsia" w:ascii="Times New Roman" w:hAnsi="Times New Roman" w:eastAsia="仿宋_GB2312"/>
          <w:color w:val="auto"/>
          <w:kern w:val="2"/>
          <w:sz w:val="32"/>
          <w:szCs w:val="32"/>
          <w:highlight w:val="none"/>
          <w:shd w:val="clear" w:color="auto" w:fill="FFFFFF"/>
          <w:lang w:val="en-US" w:eastAsia="zh-CN" w:bidi="ar-SA"/>
        </w:rPr>
        <w:t>融合即将开展的工作有前瞻性地思考分析谋划。</w:t>
      </w:r>
      <w:r>
        <w:rPr>
          <w:rFonts w:hint="eastAsia" w:ascii="Times New Roman" w:hAnsi="Times New Roman" w:eastAsia="仿宋_GB2312"/>
          <w:b/>
          <w:bCs/>
          <w:color w:val="auto"/>
          <w:kern w:val="2"/>
          <w:sz w:val="32"/>
          <w:szCs w:val="32"/>
          <w:highlight w:val="none"/>
          <w:shd w:val="clear" w:color="auto" w:fill="FFFFFF"/>
          <w:lang w:val="en-US" w:eastAsia="zh-CN" w:bidi="ar-SA"/>
        </w:rPr>
        <w:t>二是</w:t>
      </w:r>
      <w:r>
        <w:rPr>
          <w:rFonts w:hint="eastAsia" w:ascii="Times New Roman" w:hAnsi="Times New Roman" w:eastAsia="仿宋_GB2312"/>
          <w:color w:val="auto"/>
          <w:kern w:val="2"/>
          <w:sz w:val="32"/>
          <w:szCs w:val="32"/>
          <w:highlight w:val="none"/>
          <w:shd w:val="clear" w:color="auto" w:fill="FFFFFF"/>
          <w:lang w:val="en-US" w:eastAsia="zh-CN" w:bidi="ar-SA"/>
        </w:rPr>
        <w:t>办公室和</w:t>
      </w:r>
      <w:r>
        <w:rPr>
          <w:rFonts w:ascii="Times New Roman" w:hAnsi="Times New Roman" w:eastAsia="仿宋_GB2312"/>
          <w:color w:val="auto"/>
          <w:kern w:val="2"/>
          <w:sz w:val="32"/>
          <w:szCs w:val="32"/>
          <w:highlight w:val="none"/>
          <w:shd w:val="clear" w:color="auto" w:fill="FFFFFF"/>
          <w:lang w:val="en-US" w:eastAsia="zh-CN" w:bidi="ar-SA"/>
        </w:rPr>
        <w:t>业务部（室）对全年采购需求考虑</w:t>
      </w:r>
      <w:r>
        <w:rPr>
          <w:rFonts w:hint="eastAsia" w:ascii="Times New Roman" w:hAnsi="Times New Roman" w:eastAsia="仿宋_GB2312"/>
          <w:color w:val="auto"/>
          <w:kern w:val="2"/>
          <w:sz w:val="32"/>
          <w:szCs w:val="32"/>
          <w:highlight w:val="none"/>
          <w:shd w:val="clear" w:color="auto" w:fill="FFFFFF"/>
          <w:lang w:val="en-US" w:eastAsia="zh-CN" w:bidi="ar-SA"/>
        </w:rPr>
        <w:t>要尽可能</w:t>
      </w:r>
      <w:r>
        <w:rPr>
          <w:rFonts w:ascii="Times New Roman" w:hAnsi="Times New Roman" w:eastAsia="仿宋_GB2312"/>
          <w:color w:val="auto"/>
          <w:kern w:val="2"/>
          <w:sz w:val="32"/>
          <w:szCs w:val="32"/>
          <w:highlight w:val="none"/>
          <w:shd w:val="clear" w:color="auto" w:fill="FFFFFF"/>
          <w:lang w:val="en-US" w:eastAsia="zh-CN" w:bidi="ar-SA"/>
        </w:rPr>
        <w:t>充分</w:t>
      </w:r>
      <w:r>
        <w:rPr>
          <w:rFonts w:hint="eastAsia" w:ascii="Times New Roman" w:hAnsi="Times New Roman" w:eastAsia="仿宋_GB2312"/>
          <w:color w:val="auto"/>
          <w:kern w:val="2"/>
          <w:sz w:val="32"/>
          <w:szCs w:val="32"/>
          <w:highlight w:val="none"/>
          <w:shd w:val="clear" w:color="auto" w:fill="FFFFFF"/>
          <w:lang w:val="en-US" w:eastAsia="zh-CN" w:bidi="ar-SA"/>
        </w:rPr>
        <w:t>、</w:t>
      </w:r>
      <w:r>
        <w:rPr>
          <w:rFonts w:ascii="Times New Roman" w:hAnsi="Times New Roman" w:eastAsia="仿宋_GB2312"/>
          <w:color w:val="auto"/>
          <w:kern w:val="2"/>
          <w:sz w:val="32"/>
          <w:szCs w:val="32"/>
          <w:highlight w:val="none"/>
          <w:shd w:val="clear" w:color="auto" w:fill="FFFFFF"/>
          <w:lang w:val="en-US" w:eastAsia="zh-CN" w:bidi="ar-SA"/>
        </w:rPr>
        <w:t>全面，在单位实际情况出现变化时灵活处理。</w:t>
      </w:r>
      <w:r>
        <w:rPr>
          <w:rFonts w:hint="eastAsia" w:ascii="Times New Roman" w:hAnsi="Times New Roman" w:cs="Times New Roman"/>
          <w:b/>
          <w:bCs/>
          <w:highlight w:val="none"/>
          <w:lang w:val="zh-CN"/>
        </w:rPr>
        <w:t>三</w:t>
      </w:r>
      <w:r>
        <w:rPr>
          <w:rFonts w:hint="default" w:ascii="Times New Roman" w:hAnsi="Times New Roman" w:cs="Times New Roman"/>
          <w:b/>
          <w:bCs/>
          <w:highlight w:val="none"/>
          <w:lang w:val="zh-CN"/>
        </w:rPr>
        <w:t>是</w:t>
      </w:r>
      <w:r>
        <w:rPr>
          <w:rFonts w:hint="default" w:ascii="Times New Roman" w:hAnsi="Times New Roman" w:cs="Times New Roman"/>
          <w:highlight w:val="none"/>
          <w:lang w:val="zh-CN"/>
        </w:rPr>
        <w:t>定期召开预算执行进度通报会，</w:t>
      </w:r>
      <w:r>
        <w:rPr>
          <w:rFonts w:hint="eastAsia" w:ascii="Times New Roman" w:hAnsi="Times New Roman" w:cs="Times New Roman"/>
          <w:highlight w:val="none"/>
          <w:lang w:val="zh-CN"/>
        </w:rPr>
        <w:t>学习相关制度文件，</w:t>
      </w:r>
      <w:r>
        <w:rPr>
          <w:rFonts w:hint="default" w:ascii="Times New Roman" w:hAnsi="Times New Roman" w:cs="Times New Roman"/>
          <w:highlight w:val="none"/>
          <w:lang w:val="zh-CN"/>
        </w:rPr>
        <w:t>分析预算执行中存在的问题，对项目资金结余原因进行逐项分析，加快项目预算执行。</w:t>
      </w:r>
    </w:p>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hint="eastAsia" w:ascii="方正小标宋简体" w:hAnsi="方正小标宋简体" w:eastAsia="方正小标宋简体" w:cs="方正小标宋简体"/>
          <w:color w:val="000000"/>
          <w:kern w:val="0"/>
          <w:sz w:val="44"/>
          <w:szCs w:val="44"/>
          <w:highlight w:val="none"/>
          <w:shd w:val="clear" w:color="auto" w:fill="FFFFFF"/>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bookmarkStart w:id="64" w:name="_Toc15396618"/>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pStyle w:val="2"/>
        <w:rPr>
          <w:rFonts w:hint="eastAsia" w:ascii="Times New Roman" w:hAnsi="Times New Roman" w:eastAsia="黑体" w:cs="黑体"/>
          <w:kern w:val="2"/>
          <w:sz w:val="32"/>
          <w:szCs w:val="24"/>
          <w:lang w:val="en-US" w:eastAsia="zh-CN"/>
        </w:rPr>
      </w:pPr>
    </w:p>
    <w:p>
      <w:pPr>
        <w:rPr>
          <w:rFonts w:hint="eastAsia"/>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r>
        <w:rPr>
          <w:rFonts w:hint="eastAsia" w:ascii="Times New Roman" w:hAnsi="Times New Roman" w:eastAsia="黑体" w:cs="黑体"/>
          <w:kern w:val="2"/>
          <w:sz w:val="32"/>
          <w:szCs w:val="24"/>
          <w:lang w:val="en-US" w:eastAsia="zh-CN"/>
        </w:rPr>
        <w:t>附件</w:t>
      </w:r>
      <w:r>
        <w:rPr>
          <w:rFonts w:hint="default" w:ascii="Times New Roman" w:hAnsi="Times New Roman" w:eastAsia="黑体" w:cs="黑体"/>
          <w:kern w:val="2"/>
          <w:sz w:val="32"/>
          <w:szCs w:val="24"/>
          <w:lang w:val="en-US" w:eastAsia="zh-CN"/>
        </w:rPr>
        <w:t>2</w:t>
      </w:r>
    </w:p>
    <w:p>
      <w:pPr>
        <w:keepNext w:val="0"/>
        <w:keepLines w:val="0"/>
        <w:pageBreakBefore w:val="0"/>
        <w:widowControl/>
        <w:kinsoku/>
        <w:wordWrap/>
        <w:overflowPunct/>
        <w:topLinePunct w:val="0"/>
        <w:autoSpaceDE/>
        <w:autoSpaceDN/>
        <w:bidi w:val="0"/>
        <w:adjustRightInd w:val="0"/>
        <w:snapToGrid w:val="0"/>
        <w:spacing w:line="560" w:lineRule="exact"/>
        <w:contextualSpacing/>
        <w:jc w:val="both"/>
        <w:textAlignment w:val="auto"/>
        <w:rPr>
          <w:rFonts w:hint="eastAsia" w:ascii="方正小标宋简体" w:hAnsi="方正小标宋简体" w:eastAsia="方正小标宋简体" w:cs="方正小标宋简体"/>
          <w:color w:val="000000"/>
          <w:kern w:val="0"/>
          <w:sz w:val="44"/>
          <w:szCs w:val="44"/>
          <w:highlight w:val="none"/>
          <w:shd w:val="clear" w:color="auto" w:fill="FFFFFF"/>
          <w:lang w:val="en-US" w:eastAsia="zh-CN"/>
        </w:rPr>
      </w:pPr>
      <w:r>
        <w:rPr>
          <w:rFonts w:hint="eastAsia" w:ascii="方正小标宋简体" w:hAnsi="方正小标宋简体" w:eastAsia="方正小标宋简体" w:cs="方正小标宋简体"/>
          <w:color w:val="000000"/>
          <w:kern w:val="0"/>
          <w:sz w:val="44"/>
          <w:szCs w:val="44"/>
          <w:highlight w:val="none"/>
          <w:shd w:val="clear" w:color="auto" w:fill="FFFFFF"/>
          <w:lang w:val="en-US" w:eastAsia="zh-CN"/>
        </w:rPr>
        <w:t>部门预算项目支出绩效自评表（2023年度）</w:t>
      </w:r>
    </w:p>
    <w:tbl>
      <w:tblPr>
        <w:tblStyle w:val="13"/>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9"/>
        <w:gridCol w:w="945"/>
        <w:gridCol w:w="1237"/>
        <w:gridCol w:w="396"/>
        <w:gridCol w:w="873"/>
        <w:gridCol w:w="756"/>
        <w:gridCol w:w="846"/>
        <w:gridCol w:w="486"/>
        <w:gridCol w:w="486"/>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51030022T000006051507-重大传染病防控补助资金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完善“政府组织领导、部门各负其责、全社会共同参与”的防治机制，全面落实各项艾滋病和性病预防控制措施，提高发现率，扩大治疗覆盖面，提升治疗成功率，提升治疗成功率，降低死亡率，降低新发高然，提高感染者和病人的生活质量。</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通过开展调研督导，立足部门实际，在富顺县永年镇打造禁毒防艾宣传阵地，常态化向群众宣传普及禁毒防艾知识。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通过开展调研督导，立足部门实际，在富顺县永年镇打造禁毒防艾宣传阵地，常态化向群众宣传普及禁毒防艾知识。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联合多部门开展督导指导工作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艾滋病规范化随访干预比例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艾滋病疫情处于低流行水平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中长期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中长期</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通过开展调研督导，立足部门实际，在富顺县永年镇打造禁毒防艾宣传阵地，常态化向群众宣传普及禁毒防艾知识，提高群众对艾滋病的知晓率，促进当地艾滋病防控工作更加有力。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项目负责人：罗滢</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51030022Y000000325498-市妇联幸福家庭再提升行动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开展“传家训家风、创最美家庭”文明家庭创建活动和“家家幸福安康”工程。</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举办“5·15”国际家庭日系列活动，在全国首创“成渝地区双城经济圈建设·家家幸福安康工程”——新时代家庭教育家庭教育观辩论赛。52户家庭获评全国、省、市级“最美家庭”，召开普惠托育工作会议，累计培育“友好型儿童之家”70个，开展家庭教育讲座200余场，获省“安全天府行”活动先进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牵头开展2023年“向幸福出发——寻找最美家庭 传承家训家风”家庭文明创建活动，举办了“5·15”国际家庭日暨“成渝地区双城经济圈建设·家家幸福安康工程”——新时代家庭教育学习活动，举办辩论赛6场，深入贯彻家庭教育促进法，打造家庭亲子阅读体验基地，线上线下开展家庭教育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打造省市级家风家教创新实践基地建设10个，有效发挥示范引领作用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亲子阅读20场以上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打造安全宣传进家庭示范点5个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全市社区家长学校覆盖率100%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评选全市“最美家庭”30户，及时率100%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43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开展家校社合作共同育，开展“回家行动关爱返乡农民工和留守儿童，让更多的家长陪伴孩子的童年”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线上线下开展家庭教育讲座100场以上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参加社区家长学校培训的居民满意度达90%以上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深入开展幸福家庭再提升行动，常态化开展寻找“最美家庭”创建活动，落地落实家校社协同育人机制，以优良家风涵养时代新风，推动社会主义核心价值观在家庭落地生根。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项目负责人：宋燕萍</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51030022Y000000325523-市妇联妇儿工委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1.开展“六一”儿童节慰问活动。</w:t>
            </w:r>
            <w:r>
              <w:rPr>
                <w:rFonts w:ascii="宋体" w:hAnsi="宋体" w:eastAsia="宋体" w:cs="宋体"/>
                <w:i w:val="0"/>
                <w:iCs w:val="0"/>
                <w:color w:val="000000"/>
                <w:kern w:val="0"/>
                <w:sz w:val="18"/>
                <w:szCs w:val="18"/>
                <w:u w:val="none"/>
                <w:lang w:val="en-US" w:eastAsia="zh-CN"/>
              </w:rPr>
              <w:br w:type="textWrapping"/>
            </w:r>
            <w:r>
              <w:rPr>
                <w:rFonts w:ascii="宋体" w:hAnsi="宋体" w:eastAsia="宋体" w:cs="宋体"/>
                <w:i w:val="0"/>
                <w:iCs w:val="0"/>
                <w:color w:val="000000"/>
                <w:kern w:val="0"/>
                <w:sz w:val="18"/>
                <w:szCs w:val="18"/>
                <w:u w:val="none"/>
                <w:lang w:val="en-US" w:eastAsia="zh-CN"/>
              </w:rPr>
              <w:t>2.开展“春蕾计划”结对帮扶助学活动。</w:t>
            </w:r>
            <w:r>
              <w:rPr>
                <w:rFonts w:ascii="宋体" w:hAnsi="宋体" w:eastAsia="宋体" w:cs="宋体"/>
                <w:i w:val="0"/>
                <w:iCs w:val="0"/>
                <w:color w:val="000000"/>
                <w:kern w:val="0"/>
                <w:sz w:val="18"/>
                <w:szCs w:val="18"/>
                <w:u w:val="none"/>
                <w:lang w:val="en-US" w:eastAsia="zh-CN"/>
              </w:rPr>
              <w:br w:type="textWrapping"/>
            </w:r>
            <w:r>
              <w:rPr>
                <w:rFonts w:ascii="宋体" w:hAnsi="宋体" w:eastAsia="宋体" w:cs="宋体"/>
                <w:i w:val="0"/>
                <w:iCs w:val="0"/>
                <w:color w:val="000000"/>
                <w:kern w:val="0"/>
                <w:sz w:val="18"/>
                <w:szCs w:val="18"/>
                <w:u w:val="none"/>
                <w:lang w:val="en-US" w:eastAsia="zh-CN"/>
              </w:rPr>
              <w:t>3.召开两纲监测统计培训会、工作总结会、推进会、 工作调研、实施“两纲”示范“区县”，推动新一轮两纲实施。</w:t>
            </w:r>
            <w:r>
              <w:rPr>
                <w:rFonts w:ascii="宋体" w:hAnsi="宋体" w:eastAsia="宋体" w:cs="宋体"/>
                <w:i w:val="0"/>
                <w:iCs w:val="0"/>
                <w:color w:val="000000"/>
                <w:kern w:val="0"/>
                <w:sz w:val="18"/>
                <w:szCs w:val="18"/>
                <w:u w:val="none"/>
                <w:lang w:val="en-US" w:eastAsia="zh-CN"/>
              </w:rPr>
              <w:br w:type="textWrapping"/>
            </w:r>
            <w:r>
              <w:rPr>
                <w:rFonts w:ascii="宋体" w:hAnsi="宋体" w:eastAsia="宋体" w:cs="宋体"/>
                <w:i w:val="0"/>
                <w:iCs w:val="0"/>
                <w:color w:val="000000"/>
                <w:kern w:val="0"/>
                <w:sz w:val="18"/>
                <w:szCs w:val="18"/>
                <w:u w:val="none"/>
                <w:lang w:val="en-US" w:eastAsia="zh-CN"/>
              </w:rPr>
              <w:t>4.开展家庭教育五年规划中期评估。</w:t>
            </w:r>
            <w:r>
              <w:rPr>
                <w:rFonts w:ascii="宋体" w:hAnsi="宋体" w:eastAsia="宋体" w:cs="宋体"/>
                <w:i w:val="0"/>
                <w:iCs w:val="0"/>
                <w:color w:val="000000"/>
                <w:kern w:val="0"/>
                <w:sz w:val="18"/>
                <w:szCs w:val="18"/>
                <w:u w:val="none"/>
                <w:lang w:val="en-US" w:eastAsia="zh-CN"/>
              </w:rPr>
              <w:br w:type="textWrapping"/>
            </w:r>
            <w:r>
              <w:rPr>
                <w:rFonts w:ascii="宋体" w:hAnsi="宋体" w:eastAsia="宋体" w:cs="宋体"/>
                <w:i w:val="0"/>
                <w:iCs w:val="0"/>
                <w:color w:val="000000"/>
                <w:kern w:val="0"/>
                <w:sz w:val="18"/>
                <w:szCs w:val="18"/>
                <w:u w:val="none"/>
                <w:lang w:val="en-US" w:eastAsia="zh-CN"/>
              </w:rPr>
              <w:t>5.积极争取项目实事，推动重难点问题解决。</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制作自贡市新两纲宣传视频，开展全市实施妇儿两纲工作培训及表扬，在全省统计监测会做交流发言，5个单位、8个个人获得省实施妇女儿童发展纲要优秀集体和个人。发放“春蕾计划”助学金6.82万元，惠及80名困难女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制作自贡市新两纲宣传视频，开展全市实施妇儿两纲工作培训及表扬，开展年度“两纲”统计监测工作，积极开展“春蕾计划”结对助学活动。落实市妇联、市教体局、市民政局“三方”签订的《自贡市“家校社”协同育人战略合作框架协议》，努力推动构建自贡市家庭学校社会协同育人新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春蕾计划结对帮扶困难学生100名以上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86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经济下行，寻找爱心单位或个人较困难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重要节点累计慰问困难儿童50名以上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打造优秀儿童之家50个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70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全市村、社区儿童之家覆盖率90%以上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开展两纲年度指标监测统计，召开两纲监测统计培训会、工作总结会、推进会、 工作调研、实施“两纲”示范“区县”等，为新一轮十年“两纲”工作打好坚实基础。</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有序推动新一轮“两纲”实施，在全社区营造新“两纲”实施的良好氛围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春蕾计划资助对象和爱心人士满意率达到95%以上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积极整合各类资源，通过“春蕾计划”等多种方式，常态化做好“重要节点儿童关爱服务活动；努力推动构建自贡市家庭学校社会协同育人新格局，发动全社会共同关心关爱少年儿童健康成长，营造妇女儿童事业发展良好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项目负责人：宋燕萍</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51030022Y000000325559-市妇联强基固本再提升行动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1.做好参加中国妇女十三大、四川妇女十四大代表推荐和参会工作；2. 做好自贡妇女十四大代表和执委人选协商、推荐、资格审查、大会选举等工作；3. 持续强化基层妇联组织建设和阵地建设，纵深推进妇联改革。</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2023年，认真做好了中国妇女十三大2名代表和四川妇女十四大26名代表推荐工作以及省妇代会期间联络服务等工作。做好自贡妇女十四大组织组工作，为自贡妇女十四大代表大会选举工作打下了坚实基础。提升组织运转效能，持续推动妇联组织建设改革提质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一是认真做好了中国妇女十三大2名代表和四川妇女十四大26名代表推荐工作，同时做好了省妇代会期间联络服务等工作。二是做好自贡妇女十四大组织组工作，收集全市代表登记表和简历等350余份，起草各类妇代会人员名册32份和资格审查、人事说明等15份，为自贡妇女十四大代表大会选举工作打下了坚实基础。三是持续推动妇联组织建设改革提质增效。出台《2023年新组织等新领域党建带妇建工作实施方案》，在两新组织及新就业群体等领域建立妇女组织1865个，完成妇女组织覆盖率达100%。草拟《机关事业单位妇委会工作手册》《两新组织暨新业态新就业群体妇联工作手册》，引领全市983个基层“妇女之家”、78个市级“妇女之家”、312个“妇女微家”、9个新建示范“妇女之家”实现资源整合和工作联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指导示范妇女微家开展活动，全年不少于4次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做好参加中国妇女十三大、四川妇女十四大代表推荐和参会工作2批次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批次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通过成功召开自贡妇女十四大, 持续强化妇联组织建设、队伍建设、阵地建设等，建立广泛引领、服务、联系妇女群众的妇联工作体系。填补组织覆盖盲区，做到应建尽建，努力实现哪里妇女群众集中、就在哪里建组织，践行“妇联在您身边”的承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推动在新领域、新业态、新阶层、新群体中建立妇女组织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着力促进妇女之家提质扩容，持续推动示范“妇女之家”“妇女微家”、驻外“妇女之家”建设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服务对象满意率达90%以上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2023年，认真做好了中国妇女十三大2名代表和四川妇女十四大26名代表推荐工作以及省妇代会期间联络服务等工作。做好自贡妇女十四大组织组工作，为自贡妇女十四大代表大会选举工作打下了坚实基础。做好了提升组织运转效能，持续推动组织覆盖扩面、织密妇联组织网络，持续激励基层干部发挥作用、有效提升履职能力，持续强化妇联组织作风建设、做深做实做细妇女群众工作四个方面，持续推动妇联组织建设改革提质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项目负责人：杨璐瑶</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51030022Y000000325577-市妇联巾帼建功再提升行动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大众创业、万众创新”主题，重点围绕“一带一路”“成渝经济双城经济圈”，通过选树典型，凝聚巾帼力量，开展市级巾帼文明示范岗评比表扬活动；围绕中心，服务大局，在贴近行业需求，贴近妇女实际，凝聚妇女力量，培育妇女典型等方面取得了显著成效,搭建女性创新创业就业平台，为加快建设新时代深化改革扩大开放示范城市贡献力巾帼量。</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先后5个集体获评全国、省级巾帼文明岗，4人获评全国、省级巾帼建功标兵，1个单位获评巾帼建功先进集体，发动96个单位参与市级巾帼文明岗创建；联合开展第九届“让爱回家·守护成长”招聘会和“五件实事”工作，提供岗位约5.98万个，帮助2000余人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深化“巾帼建功”品牌活动，举办巾帼文明岗培训班，推荐巾帼文明先进集体和个人，联合举办招聘会，激励各行各业妇女立足本职岗位建功立业。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举办巾帼文明岗培训班1期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培训各类人才100人次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通过初选、项目现场评选等方式评选市级巾帼文明岗20个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因省、市关于示范创建活动的要求，暂停选树市级巾帼文明岗。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年12月底前举办自贡乡村女能人培训班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促进妇女创业就业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围绕中心，服务大局，凝聚妇女力量，有效开展培育妇女典型工作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巾帼文明岗培训班学员满意率达95%以上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依托妇女居家灵活就业基地，开展妇女就业技能培训和带动就业增收；选树先进典型，发挥其示范带动作用。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项目负责人：陈勇</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51030022Y000000325596-市妇联乡村振兴再提升行动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发挥好妇联组织的优势和力量，加大推动农村产业发展、乡风文明建设 、实施“新农村、新家园、新生活”项目，开展美丽庭院创建活动，农村弱势群体关爱等工作；开展巾帼创新基地创建； 加强农村妇女素质提升；积极争取各级政策、项目、资金，实施“回家行动”，落实“两癌”救助、“情暖妇幼”等项目政策，为实现乡村振兴贡献力量 。</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召开“乡村振兴巾帼行动”工作会，评选市级乡村女能人52名，编印《盐都乡村巾帼追梦人》一书和宣传片，成功申报省级妇女居家灵活就业基地项目1个、争取资金97万元，命名市级巾帼创新实践基地13个，获省女大学生家庭服务创新创业大赛“最佳组织奖”。配合开展“两癌”筛查4.8万人，发放“两癌”救助金253万元，赠送“两癌”保险和“贡惠保”2850份；元旦春节为1200余个困难妇女儿童等送去价值20余万元的慰问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在重要节点开展慰问活动，评选第三届自贡市“乡村女能人”，编印自贡市乡村女能人宣传书籍，成功申报省级妇女居家灵活就业基地1个。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开展春节慰问200人次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发挥妇联组织优势，做好定点帮扶扶贫1个村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“两癌”健康知识宣讲1000人/次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12月前关爱慰问困难妇幼200名，及时率100%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253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巾帼创新基地创建10个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开展美丽庭院创建活动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有效提升农村妇女素质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结对帮扶村村民满意率达到95%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对“两癌”患病妇女、困境儿童、困难妇女等群体重点关注，帮助解决实际困难；积极申报省级妇女居家灵活就业基地，培养了乡村振兴女性代表。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项目负责人：陈勇</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51030022Y000000325623-市妇联综合素质再提升行动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持续实施“基层妇联领头雁培训计划”，举办两新组织妇联主席履职能力培训班。</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 xml:space="preserve">2023年，以召开优秀女性人才座谈会、举办女企业家协会30周年庆典型等自贡市纪念“三八”国际妇女节系列活动为契机，不断凝聚巾帼之力、汇集巾帼之智。持续实施“基层妇联领头雁培训计划”，举办自贡市两新组织等新领域妇联组织示范培训班等60场次，赋能四级妇女干部5000余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持续实施“基层妇联领头雁培训计划”，举办自贡市两新组织等新领域妇联组织示范培训班等60场次，赋能四级妇女干部5000余人。以召开优秀女性人才座谈会、举办女企业家协会30周年庆典型等自贡市纪念“三八”国际妇女节系列活动为契机，切实提升妇联干部服务服务妇女儿童和家庭的能力，持续有效推动妇女儿童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培训人员不少于50人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举办两新组织妇联主席履职能力培训班1期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1.通过举办各类业务培训，提升基层妇联干部履职能力。2.通过举办科技创新、金融、税收、法律、健康、礼仪等系列培训，提升女性三支队伍综合素质。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培训时间不少于3天</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年12月前举报培训班，及时率100%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提高妇联干部把握方向、把握大势、把握全局的能力，增强做好新时代妇女群众工作的本领。发挥基层执委队伍作用，提升基层执委服务妇女儿童和家庭的能力。</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提升妇联干部服务服务妇女儿童和家庭的能力，持续有效推动妇女儿童事业发展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2023年，以召开优秀女性人才座谈会、举办女企业家协会30周年庆典型等自贡市纪念“三八”国际妇女节系列活动为契机，不断凝聚巾帼之力、汇集巾帼之智。持续实施“基层妇联领头雁培训计划”，举办自贡市两新组织等新领域妇联组织示范培训班等60场次，赋能四级妇女干部5000余人，切实提升两新组织等新领域妇联组织负责人的综合素养和各级妇女干部综合素质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项目负责人：杨璐瑶</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51030022Y000000325667-市妇联维权关爱再提升行动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覆盖范围：在全市范围内，覆盖3类以上不同妇女群体，覆盖人数达5万。2、线上线下宣讲活动不少于20场。3、通过活动的开展，能够亮出妇联旗帜、发出妇联声音，凝聚妇女的力量。4、运用新媒体手段围绕妇女群众关注点主动设置话题、引导讨论，引领妇女坚定理想信念、厚植家国情怀。</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覆盖人数5万以上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不少于20场线上线下各类活动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覆盖妇女群体3类以上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类</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亮出妇联旗帜，发出妇联声音，凝聚妇女力量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妇联干部法律素养，重点开展《妇女权益保障法》《家庭教育促进法》《反家庭暴力法》等家庭普法实践活动，全力推动“母亲课堂”“巾帼维权大讲堂”“紫薇花课堂”，确保每场线下活动参与人数不低于50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运用新媒体手段围绕妇女群众关注点主动设置话题，引导讨论，努力做到联系妇女群众线上有声音、有互动、有话题，实现互动常态化、沟通零距离</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亮出妇联旗帜、发出妇联声音、凝聚妇女力量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信访办结率达到100%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项目负责人：罗滢</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51030023T000009807475-2023年妇女儿童事业发展专项资金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2023年度妇女儿童事业发展专项资金</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开展维权、反家暴、亲子阅读、志愿服务等活动。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打造了2个妇女儿童维权站，建设文明实践巾帼志愿阳光站阵地1个，打造1个反家暴示范点，建立1支婚姻家庭矛盾调解队伍。创建家庭亲子阅读联盟，并常态化开展特色活动。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覆盖三类以上不同妇女权重，覆盖人数5万人以上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开展群众性宣传教育活动8场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开展巾帼志愿阳光行动，打造反家暴示范点，打造家庭亲子阅读体验基地，建立妇女儿童维权示范点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村社区维权站阵地建立妇女议事会，每年开展妇女议事活动2次以上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建立自贡特色的巾帼志愿服务品牌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妇女群众对阵地的维权服务满意度达90%以上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建立自贡特色的巾帼志愿服务品牌，形成了自贡反家暴工作模式经验，打造具有自贡特色的家风文化阅读品牌活动，增强了妇女儿童的获得感幸福感安全感。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项目负责人：宋燕萍、罗滢</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51030023Y000008377841-市妇联推进六大行动工作经费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提高预算编制质量，严格执行预算，保障单位各项工作运转。</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统筹安排预算，按照科学合理、规范完整、细化量化的标准合理设立绩效目标。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办公室和各业务部室一起编制了项目预算，定期研究分析执行情况。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保障7个项目正常运转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保障单位各项工作运转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服务对象满意度不低于90%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0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年初预算科学合理、项目资金使用规范、项目进度动态监控、项目绩效目标完成较好。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项目负责人：陈勇</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bl>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Style w:val="17"/>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65" w:name="_Toc3613"/>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ascii="仿宋" w:hAnsi="仿宋" w:eastAsia="仿宋"/>
          <w:b/>
          <w:color w:val="000000"/>
          <w:sz w:val="44"/>
          <w:szCs w:val="44"/>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1"/>
      <w:bookmarkEnd w:id="64"/>
      <w:bookmarkEnd w:id="65"/>
    </w:p>
    <w:p>
      <w:pPr>
        <w:pStyle w:val="4"/>
        <w:rPr>
          <w:rFonts w:ascii="仿宋" w:hAnsi="仿宋" w:eastAsia="仿宋"/>
          <w:color w:val="auto"/>
          <w:highlight w:val="none"/>
        </w:rPr>
      </w:pPr>
      <w:bookmarkStart w:id="66" w:name="_Toc21455"/>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66"/>
    </w:p>
    <w:p>
      <w:pPr>
        <w:pStyle w:val="4"/>
        <w:rPr>
          <w:rFonts w:ascii="仿宋" w:hAnsi="仿宋" w:eastAsia="仿宋"/>
          <w:color w:val="auto"/>
          <w:highlight w:val="none"/>
        </w:rPr>
      </w:pPr>
      <w:bookmarkStart w:id="67" w:name="_Toc15396620"/>
      <w:bookmarkStart w:id="68" w:name="_Toc19902"/>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67"/>
      <w:bookmarkEnd w:id="68"/>
    </w:p>
    <w:p>
      <w:pPr>
        <w:pStyle w:val="4"/>
        <w:rPr>
          <w:rFonts w:ascii="仿宋" w:hAnsi="仿宋" w:eastAsia="仿宋"/>
          <w:color w:val="auto"/>
          <w:highlight w:val="none"/>
        </w:rPr>
      </w:pPr>
      <w:bookmarkStart w:id="69" w:name="_Toc15396621"/>
      <w:bookmarkStart w:id="70" w:name="_Toc5842"/>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69"/>
      <w:bookmarkEnd w:id="70"/>
    </w:p>
    <w:p>
      <w:pPr>
        <w:pStyle w:val="4"/>
        <w:rPr>
          <w:rFonts w:ascii="仿宋" w:hAnsi="仿宋" w:eastAsia="仿宋"/>
          <w:b w:val="0"/>
          <w:color w:val="auto"/>
          <w:highlight w:val="none"/>
        </w:rPr>
      </w:pPr>
      <w:bookmarkStart w:id="71" w:name="_Toc15396622"/>
      <w:bookmarkStart w:id="72" w:name="_Toc3877"/>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71"/>
      <w:bookmarkEnd w:id="72"/>
    </w:p>
    <w:p>
      <w:pPr>
        <w:pStyle w:val="4"/>
        <w:rPr>
          <w:rStyle w:val="21"/>
          <w:rFonts w:ascii="仿宋" w:hAnsi="仿宋" w:eastAsia="仿宋"/>
          <w:b w:val="0"/>
          <w:bCs w:val="0"/>
          <w:color w:val="auto"/>
          <w:highlight w:val="none"/>
        </w:rPr>
      </w:pPr>
      <w:bookmarkStart w:id="73" w:name="_Toc750"/>
      <w:bookmarkStart w:id="74" w:name="_Toc15396623"/>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73"/>
      <w:bookmarkEnd w:id="74"/>
      <w:bookmarkStart w:id="75" w:name="_Toc15396624"/>
    </w:p>
    <w:p>
      <w:pPr>
        <w:pStyle w:val="4"/>
        <w:rPr>
          <w:rFonts w:ascii="仿宋" w:hAnsi="仿宋" w:eastAsia="仿宋"/>
          <w:color w:val="auto"/>
          <w:highlight w:val="none"/>
        </w:rPr>
      </w:pPr>
      <w:bookmarkStart w:id="76" w:name="_Toc19194"/>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75"/>
      <w:bookmarkEnd w:id="76"/>
    </w:p>
    <w:p>
      <w:pPr>
        <w:pStyle w:val="4"/>
        <w:rPr>
          <w:rFonts w:ascii="仿宋" w:hAnsi="仿宋" w:eastAsia="仿宋"/>
          <w:color w:val="auto"/>
          <w:highlight w:val="none"/>
        </w:rPr>
      </w:pPr>
      <w:bookmarkStart w:id="77" w:name="_Toc7054"/>
      <w:bookmarkStart w:id="78" w:name="_Toc1539662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77"/>
      <w:bookmarkEnd w:id="78"/>
    </w:p>
    <w:p>
      <w:pPr>
        <w:pStyle w:val="4"/>
        <w:rPr>
          <w:rFonts w:ascii="仿宋" w:hAnsi="仿宋" w:eastAsia="仿宋"/>
          <w:color w:val="auto"/>
          <w:highlight w:val="none"/>
        </w:rPr>
      </w:pPr>
      <w:bookmarkStart w:id="79" w:name="_Toc14041"/>
      <w:bookmarkStart w:id="80" w:name="_Toc15396626"/>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79"/>
      <w:bookmarkEnd w:id="80"/>
    </w:p>
    <w:p>
      <w:pPr>
        <w:pStyle w:val="4"/>
        <w:rPr>
          <w:rFonts w:ascii="仿宋" w:hAnsi="仿宋" w:eastAsia="仿宋"/>
          <w:color w:val="auto"/>
          <w:highlight w:val="none"/>
        </w:rPr>
      </w:pPr>
      <w:bookmarkStart w:id="81" w:name="_Toc15396627"/>
      <w:bookmarkStart w:id="82" w:name="_Toc26706"/>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81"/>
      <w:bookmarkEnd w:id="82"/>
    </w:p>
    <w:p>
      <w:pPr>
        <w:pStyle w:val="4"/>
        <w:rPr>
          <w:rFonts w:ascii="仿宋" w:hAnsi="仿宋" w:eastAsia="仿宋"/>
          <w:color w:val="auto"/>
          <w:highlight w:val="none"/>
        </w:rPr>
      </w:pPr>
      <w:bookmarkStart w:id="83" w:name="_Toc15396628"/>
      <w:bookmarkStart w:id="84" w:name="_Toc2700"/>
      <w:r>
        <w:rPr>
          <w:rStyle w:val="21"/>
          <w:rFonts w:hint="eastAsia" w:ascii="仿宋" w:hAnsi="仿宋" w:eastAsia="仿宋"/>
          <w:b w:val="0"/>
          <w:bCs w:val="0"/>
          <w:color w:val="auto"/>
          <w:highlight w:val="none"/>
        </w:rPr>
        <w:t>十、</w:t>
      </w:r>
      <w:bookmarkEnd w:id="83"/>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84"/>
    </w:p>
    <w:p>
      <w:pPr>
        <w:pStyle w:val="4"/>
        <w:rPr>
          <w:rFonts w:ascii="仿宋" w:hAnsi="仿宋" w:eastAsia="仿宋"/>
          <w:color w:val="auto"/>
          <w:highlight w:val="none"/>
        </w:rPr>
      </w:pPr>
      <w:bookmarkStart w:id="85" w:name="_Toc15396629"/>
      <w:bookmarkStart w:id="86" w:name="_Toc32218"/>
      <w:r>
        <w:rPr>
          <w:rStyle w:val="21"/>
          <w:rFonts w:hint="eastAsia" w:ascii="仿宋" w:hAnsi="仿宋" w:eastAsia="仿宋"/>
          <w:b w:val="0"/>
          <w:bCs w:val="0"/>
          <w:color w:val="auto"/>
          <w:highlight w:val="none"/>
        </w:rPr>
        <w:t>十一、</w:t>
      </w:r>
      <w:bookmarkEnd w:id="85"/>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86"/>
    </w:p>
    <w:p>
      <w:pPr>
        <w:pStyle w:val="4"/>
        <w:rPr>
          <w:rFonts w:ascii="仿宋" w:hAnsi="仿宋" w:eastAsia="仿宋"/>
          <w:color w:val="auto"/>
          <w:highlight w:val="none"/>
        </w:rPr>
      </w:pPr>
      <w:bookmarkStart w:id="87" w:name="_Toc15396630"/>
      <w:bookmarkStart w:id="88" w:name="_Toc23596"/>
      <w:r>
        <w:rPr>
          <w:rStyle w:val="21"/>
          <w:rFonts w:hint="eastAsia" w:ascii="仿宋" w:hAnsi="仿宋" w:eastAsia="仿宋"/>
          <w:b w:val="0"/>
          <w:bCs w:val="0"/>
          <w:color w:val="auto"/>
          <w:highlight w:val="none"/>
        </w:rPr>
        <w:t>十二、</w:t>
      </w:r>
      <w:bookmarkEnd w:id="87"/>
      <w:r>
        <w:rPr>
          <w:rStyle w:val="21"/>
          <w:rFonts w:hint="eastAsia" w:ascii="仿宋" w:hAnsi="仿宋" w:eastAsia="仿宋"/>
          <w:b w:val="0"/>
          <w:bCs w:val="0"/>
          <w:color w:val="auto"/>
          <w:highlight w:val="none"/>
          <w:lang w:eastAsia="zh-CN"/>
        </w:rPr>
        <w:t>国有资本经营预算财政拨款支出决算表</w:t>
      </w:r>
      <w:bookmarkEnd w:id="88"/>
    </w:p>
    <w:p>
      <w:pPr>
        <w:pStyle w:val="4"/>
        <w:rPr>
          <w:rFonts w:hint="eastAsia" w:ascii="仿宋" w:hAnsi="仿宋" w:eastAsia="仿宋"/>
          <w:b w:val="0"/>
          <w:color w:val="000000"/>
        </w:rPr>
      </w:pPr>
      <w:bookmarkStart w:id="89" w:name="_Toc15396631"/>
      <w:bookmarkStart w:id="90" w:name="_Toc1521"/>
      <w:r>
        <w:rPr>
          <w:rStyle w:val="21"/>
          <w:rFonts w:hint="eastAsia" w:ascii="仿宋" w:hAnsi="仿宋" w:eastAsia="仿宋"/>
          <w:b w:val="0"/>
          <w:bCs w:val="0"/>
          <w:color w:val="auto"/>
          <w:highlight w:val="none"/>
        </w:rPr>
        <w:t>十三、</w:t>
      </w:r>
      <w:bookmarkEnd w:id="89"/>
      <w:r>
        <w:rPr>
          <w:rStyle w:val="21"/>
          <w:rFonts w:hint="eastAsia" w:ascii="仿宋" w:hAnsi="仿宋" w:eastAsia="仿宋"/>
          <w:b w:val="0"/>
          <w:bCs w:val="0"/>
          <w:color w:val="auto"/>
          <w:highlight w:val="none"/>
          <w:lang w:eastAsia="zh-CN"/>
        </w:rPr>
        <w:t>财政拨款“三公”经费支出决算表</w:t>
      </w:r>
      <w:bookmarkEnd w:id="9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CESI仿宋-GB2312">
    <w:panose1 w:val="02000500000000000000"/>
    <w:charset w:val="86"/>
    <w:family w:val="auto"/>
    <w:pitch w:val="default"/>
    <w:sig w:usb0="800002AF" w:usb1="084F6CF8"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00000001"/>
    <w:multiLevelType w:val="singleLevel"/>
    <w:tmpl w:val="00000001"/>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ZGEyMzU3NDRkZWU4MDIyNDY2NjQzOGNmMGI2YmUifQ=="/>
  </w:docVars>
  <w:rsids>
    <w:rsidRoot w:val="6504078C"/>
    <w:rsid w:val="06D96529"/>
    <w:rsid w:val="0AB9552D"/>
    <w:rsid w:val="0B2C649E"/>
    <w:rsid w:val="0C71695B"/>
    <w:rsid w:val="1AB102B0"/>
    <w:rsid w:val="30484B1E"/>
    <w:rsid w:val="3C6A507B"/>
    <w:rsid w:val="3CAC74D9"/>
    <w:rsid w:val="3E4169FF"/>
    <w:rsid w:val="3F9A05DB"/>
    <w:rsid w:val="44E516B2"/>
    <w:rsid w:val="47BD0CAB"/>
    <w:rsid w:val="56774470"/>
    <w:rsid w:val="5794150E"/>
    <w:rsid w:val="5B394EC5"/>
    <w:rsid w:val="5D3E75DF"/>
    <w:rsid w:val="60932A8E"/>
    <w:rsid w:val="6504078C"/>
    <w:rsid w:val="6B769DA4"/>
    <w:rsid w:val="6C29058E"/>
    <w:rsid w:val="726E3979"/>
    <w:rsid w:val="747D4DEF"/>
    <w:rsid w:val="788E4A9C"/>
    <w:rsid w:val="79B788E9"/>
    <w:rsid w:val="7FEB6C16"/>
    <w:rsid w:val="B7DF065C"/>
    <w:rsid w:val="BF7BFC28"/>
    <w:rsid w:val="FEEF0B8C"/>
    <w:rsid w:val="FEF7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24"/>
      <w:szCs w:val="20"/>
    </w:rPr>
  </w:style>
  <w:style w:type="paragraph" w:styleId="5">
    <w:name w:val="index 5"/>
    <w:basedOn w:val="1"/>
    <w:next w:val="1"/>
    <w:qFormat/>
    <w:uiPriority w:val="0"/>
    <w:pPr>
      <w:ind w:left="1680"/>
    </w:pPr>
  </w:style>
  <w:style w:type="paragraph" w:styleId="6">
    <w:name w:val="Salutation"/>
    <w:basedOn w:val="1"/>
    <w:next w:val="1"/>
    <w:qFormat/>
    <w:uiPriority w:val="99"/>
    <w:rPr>
      <w:rFonts w:eastAsia="宋体"/>
      <w:sz w:val="21"/>
      <w:szCs w:val="21"/>
    </w:rPr>
  </w:style>
  <w:style w:type="paragraph" w:styleId="7">
    <w:name w:val="Body Text Indent"/>
    <w:basedOn w:val="1"/>
    <w:qFormat/>
    <w:uiPriority w:val="0"/>
    <w:pPr>
      <w:spacing w:line="560" w:lineRule="exact"/>
      <w:ind w:firstLine="64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spacing w:before="120"/>
      <w:jc w:val="left"/>
    </w:pPr>
    <w:rPr>
      <w:rFonts w:ascii="等线" w:eastAsia="等线"/>
      <w:b/>
      <w:bCs/>
      <w:i/>
      <w:iCs/>
      <w:sz w:val="24"/>
    </w:rPr>
  </w:style>
  <w:style w:type="paragraph" w:styleId="11">
    <w:name w:val="toc 2"/>
    <w:basedOn w:val="1"/>
    <w:next w:val="1"/>
    <w:unhideWhenUsed/>
    <w:qFormat/>
    <w:uiPriority w:val="39"/>
    <w:pPr>
      <w:spacing w:before="120"/>
      <w:ind w:left="300"/>
      <w:jc w:val="left"/>
    </w:pPr>
    <w:rPr>
      <w:rFonts w:ascii="等线" w:eastAsia="等线"/>
      <w:b/>
      <w:bCs/>
      <w:sz w:val="22"/>
      <w:szCs w:val="22"/>
    </w:rPr>
  </w:style>
  <w:style w:type="paragraph" w:styleId="12">
    <w:name w:val="Body Text First Indent 2"/>
    <w:basedOn w:val="7"/>
    <w:next w:val="5"/>
    <w:qFormat/>
    <w:uiPriority w:val="0"/>
    <w:pPr>
      <w:spacing w:after="120" w:line="240" w:lineRule="auto"/>
      <w:ind w:left="420" w:leftChars="200" w:firstLine="420"/>
    </w:pPr>
  </w:style>
  <w:style w:type="character" w:styleId="15">
    <w:name w:val="Strong"/>
    <w:basedOn w:val="14"/>
    <w:qFormat/>
    <w:uiPriority w:val="99"/>
    <w:rPr>
      <w:rFonts w:cs="Times New Roman"/>
      <w:b/>
    </w:rPr>
  </w:style>
  <w:style w:type="character" w:styleId="16">
    <w:name w:val="Hyperlink"/>
    <w:unhideWhenUsed/>
    <w:qFormat/>
    <w:uiPriority w:val="99"/>
    <w:rPr>
      <w:color w:val="0000FF"/>
      <w:u w:val="single"/>
    </w:rPr>
  </w:style>
  <w:style w:type="character" w:customStyle="1" w:styleId="17">
    <w:name w:val=" Char Char6"/>
    <w:basedOn w:val="14"/>
    <w:link w:val="3"/>
    <w:qFormat/>
    <w:locked/>
    <w:uiPriority w:val="9"/>
    <w:rPr>
      <w:b/>
      <w:bCs/>
      <w:kern w:val="44"/>
      <w:sz w:val="44"/>
      <w:szCs w:val="44"/>
    </w:rPr>
  </w:style>
  <w:style w:type="character" w:customStyle="1" w:styleId="18">
    <w:name w:val=" Char Char5"/>
    <w:basedOn w:val="14"/>
    <w:link w:val="4"/>
    <w:qFormat/>
    <w:locked/>
    <w:uiPriority w:val="9"/>
    <w:rPr>
      <w:rFonts w:ascii="Cambria" w:hAnsi="Cambria"/>
      <w:b/>
      <w:bCs/>
      <w:sz w:val="32"/>
      <w:szCs w:val="32"/>
    </w:rPr>
  </w:style>
  <w:style w:type="paragraph" w:customStyle="1"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22">
    <w:name w:val="aaaa1"/>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5626</Words>
  <Characters>6064</Characters>
  <Lines>0</Lines>
  <Paragraphs>0</Paragraphs>
  <TotalTime>6</TotalTime>
  <ScaleCrop>false</ScaleCrop>
  <LinksUpToDate>false</LinksUpToDate>
  <CharactersWithSpaces>6120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2021-09-10T19:29:00Z</dcterms:created>
  <dc:creator>Administrator</dc:creator>
  <cp:lastModifiedBy>user</cp:lastModifiedBy>
  <dcterms:modified xsi:type="dcterms:W3CDTF">2024-10-17T15:03:43Z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AD572CED77974D8E8408BD5F759D5159</vt:lpwstr>
  </property>
</Properties>
</file>