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eastAsia="方正小标宋简体"/>
          <w:sz w:val="44"/>
          <w:szCs w:val="44"/>
        </w:rPr>
      </w:pPr>
      <w:r>
        <w:rPr>
          <w:rFonts w:hint="eastAsia" w:eastAsia="方正小标宋简体"/>
          <w:sz w:val="44"/>
          <w:szCs w:val="44"/>
        </w:rPr>
        <w:t>自贡市妇女联合会</w:t>
      </w:r>
    </w:p>
    <w:p>
      <w:pPr>
        <w:widowControl/>
        <w:spacing w:line="560" w:lineRule="exact"/>
        <w:jc w:val="center"/>
        <w:rPr>
          <w:rFonts w:eastAsia="方正小标宋简体"/>
          <w:sz w:val="44"/>
          <w:szCs w:val="44"/>
        </w:rPr>
      </w:pPr>
      <w:r>
        <w:rPr>
          <w:rFonts w:hint="eastAsia" w:eastAsia="方正小标宋简体"/>
          <w:sz w:val="44"/>
          <w:szCs w:val="44"/>
        </w:rPr>
        <w:t>2021年度部门决算编制的说明</w:t>
      </w:r>
    </w:p>
    <w:p>
      <w:pPr>
        <w:widowControl/>
        <w:spacing w:line="560" w:lineRule="exact"/>
        <w:jc w:val="center"/>
        <w:rPr>
          <w:rFonts w:eastAsia="黑体"/>
          <w:color w:val="000000"/>
          <w:sz w:val="44"/>
          <w:szCs w:val="44"/>
        </w:rPr>
      </w:pPr>
    </w:p>
    <w:p>
      <w:pPr>
        <w:widowControl/>
        <w:spacing w:line="560" w:lineRule="exact"/>
        <w:jc w:val="center"/>
        <w:rPr>
          <w:rFonts w:eastAsia="黑体"/>
          <w:color w:val="000000"/>
          <w:sz w:val="48"/>
          <w:szCs w:val="48"/>
        </w:rPr>
      </w:pPr>
      <w:r>
        <w:rPr>
          <w:rFonts w:hint="eastAsia" w:eastAsia="黑体"/>
          <w:color w:val="000000"/>
          <w:sz w:val="44"/>
          <w:szCs w:val="44"/>
        </w:rPr>
        <w:t>目 录</w:t>
      </w:r>
    </w:p>
    <w:p>
      <w:pPr>
        <w:pStyle w:val="10"/>
        <w:spacing w:before="0" w:line="560" w:lineRule="exact"/>
        <w:jc w:val="center"/>
        <w:rPr>
          <w:rFonts w:ascii="Times New Roman" w:eastAsia="仿宋_GB2312"/>
          <w:i w:val="0"/>
          <w:sz w:val="32"/>
        </w:rPr>
      </w:pPr>
      <w:r>
        <w:rPr>
          <w:rFonts w:hint="eastAsia" w:ascii="Times New Roman" w:eastAsia="仿宋_GB2312"/>
          <w:i w:val="0"/>
          <w:sz w:val="32"/>
        </w:rPr>
        <w:t>公开时间：2022年9月30日</w:t>
      </w:r>
    </w:p>
    <w:p>
      <w:pPr>
        <w:pStyle w:val="10"/>
        <w:tabs>
          <w:tab w:val="right" w:leader="dot" w:pos="8306"/>
        </w:tabs>
        <w:spacing w:before="0" w:line="560" w:lineRule="exact"/>
        <w:rPr>
          <w:rFonts w:ascii="Times New Roman" w:eastAsia="仿宋_GB2312" w:cs="仿宋_GB2312"/>
          <w:b w:val="0"/>
          <w:i w:val="0"/>
          <w:iCs w:val="0"/>
          <w:sz w:val="28"/>
          <w:szCs w:val="28"/>
        </w:rPr>
      </w:pPr>
      <w:r>
        <w:rPr>
          <w:rFonts w:hint="eastAsia" w:ascii="Times New Roman" w:eastAsia="仿宋_GB2312" w:cs="仿宋_GB2312"/>
          <w:b w:val="0"/>
          <w:bCs w:val="0"/>
          <w:i w:val="0"/>
          <w:iCs w:val="0"/>
          <w:sz w:val="28"/>
          <w:szCs w:val="28"/>
        </w:rPr>
        <w:fldChar w:fldCharType="begin"/>
      </w:r>
      <w:r>
        <w:rPr>
          <w:rFonts w:hint="eastAsia" w:ascii="Times New Roman" w:eastAsia="仿宋_GB2312" w:cs="仿宋_GB2312"/>
          <w:b w:val="0"/>
          <w:bCs w:val="0"/>
          <w:i w:val="0"/>
          <w:iCs w:val="0"/>
          <w:sz w:val="28"/>
          <w:szCs w:val="28"/>
        </w:rPr>
        <w:instrText xml:space="preserve"> TOC \o "1-2" \h \z \u </w:instrText>
      </w:r>
      <w:r>
        <w:rPr>
          <w:rFonts w:hint="eastAsia" w:ascii="Times New Roman" w:eastAsia="仿宋_GB2312" w:cs="仿宋_GB2312"/>
          <w:b w:val="0"/>
          <w:bCs w:val="0"/>
          <w:i w:val="0"/>
          <w:iCs w:val="0"/>
          <w:sz w:val="28"/>
          <w:szCs w:val="28"/>
        </w:rPr>
        <w:fldChar w:fldCharType="separate"/>
      </w:r>
      <w:r>
        <w:fldChar w:fldCharType="begin"/>
      </w:r>
      <w:r>
        <w:instrText xml:space="preserve"> HYPERLINK \l "_Toc323928591" </w:instrText>
      </w:r>
      <w:r>
        <w:fldChar w:fldCharType="separate"/>
      </w:r>
      <w:r>
        <w:rPr>
          <w:rFonts w:hint="eastAsia" w:ascii="Times New Roman" w:eastAsia="仿宋_GB2312" w:cs="仿宋_GB2312"/>
          <w:b w:val="0"/>
          <w:i w:val="0"/>
          <w:iCs w:val="0"/>
          <w:sz w:val="28"/>
          <w:szCs w:val="28"/>
        </w:rPr>
        <w:t>第一部分 部门概况</w:t>
      </w:r>
      <w:r>
        <w:rPr>
          <w:rFonts w:hint="eastAsia" w:ascii="Times New Roman" w:eastAsia="仿宋_GB2312" w:cs="仿宋_GB2312"/>
          <w:b w:val="0"/>
          <w:i w:val="0"/>
          <w:iCs w:val="0"/>
          <w:sz w:val="28"/>
          <w:szCs w:val="28"/>
        </w:rPr>
        <w:tab/>
      </w:r>
      <w:r>
        <w:rPr>
          <w:rFonts w:hint="eastAsia" w:ascii="Times New Roman" w:eastAsia="仿宋_GB2312" w:cs="仿宋_GB2312"/>
          <w:b w:val="0"/>
          <w:i w:val="0"/>
          <w:iCs w:val="0"/>
          <w:sz w:val="28"/>
          <w:szCs w:val="28"/>
        </w:rPr>
        <w:fldChar w:fldCharType="begin"/>
      </w:r>
      <w:r>
        <w:rPr>
          <w:rFonts w:hint="eastAsia" w:ascii="Times New Roman" w:eastAsia="仿宋_GB2312" w:cs="仿宋_GB2312"/>
          <w:b w:val="0"/>
          <w:i w:val="0"/>
          <w:iCs w:val="0"/>
          <w:sz w:val="28"/>
          <w:szCs w:val="28"/>
        </w:rPr>
        <w:instrText xml:space="preserve"> PAGEREF _Toc323928591 </w:instrText>
      </w:r>
      <w:r>
        <w:rPr>
          <w:rFonts w:hint="eastAsia" w:ascii="Times New Roman" w:eastAsia="仿宋_GB2312" w:cs="仿宋_GB2312"/>
          <w:b w:val="0"/>
          <w:i w:val="0"/>
          <w:iCs w:val="0"/>
          <w:sz w:val="28"/>
          <w:szCs w:val="28"/>
        </w:rPr>
        <w:fldChar w:fldCharType="separate"/>
      </w:r>
      <w:r>
        <w:rPr>
          <w:rFonts w:hint="eastAsia" w:ascii="Times New Roman" w:eastAsia="仿宋_GB2312" w:cs="仿宋_GB2312"/>
          <w:b w:val="0"/>
          <w:i w:val="0"/>
          <w:iCs w:val="0"/>
          <w:sz w:val="28"/>
          <w:szCs w:val="28"/>
        </w:rPr>
        <w:t>3</w:t>
      </w:r>
      <w:r>
        <w:rPr>
          <w:rFonts w:hint="eastAsia" w:ascii="Times New Roman" w:eastAsia="仿宋_GB2312" w:cs="仿宋_GB2312"/>
          <w:b w:val="0"/>
          <w:i w:val="0"/>
          <w:iCs w:val="0"/>
          <w:sz w:val="28"/>
          <w:szCs w:val="28"/>
        </w:rPr>
        <w:fldChar w:fldCharType="end"/>
      </w:r>
      <w:r>
        <w:rPr>
          <w:rFonts w:hint="eastAsia" w:ascii="Times New Roman" w:eastAsia="仿宋_GB2312" w:cs="仿宋_GB2312"/>
          <w:b w:val="0"/>
          <w:i w:val="0"/>
          <w:iCs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"_Toc515157319" </w:instrText>
      </w:r>
      <w:r>
        <w:fldChar w:fldCharType="separate"/>
      </w:r>
      <w:r>
        <w:rPr>
          <w:rFonts w:hint="eastAsia" w:ascii="Times New Roman" w:eastAsia="仿宋_GB2312" w:cs="仿宋_GB2312"/>
          <w:b w:val="0"/>
          <w:sz w:val="28"/>
          <w:szCs w:val="28"/>
        </w:rPr>
        <w:t>一、基本职能及主要工作</w:t>
      </w:r>
      <w:r>
        <w:rPr>
          <w:rFonts w:hint="eastAsia" w:ascii="Times New Roman" w:eastAsia="仿宋_GB2312" w:cs="仿宋_GB2312"/>
          <w:b w:val="0"/>
          <w:sz w:val="28"/>
          <w:szCs w:val="28"/>
        </w:rPr>
        <w:tab/>
      </w:r>
      <w:bookmarkStart w:id="93" w:name="_GoBack"/>
      <w:bookmarkEnd w:id="93"/>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_Toc515157319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3</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"_Toc562851616" </w:instrText>
      </w:r>
      <w:r>
        <w:fldChar w:fldCharType="separate"/>
      </w:r>
      <w:r>
        <w:rPr>
          <w:rFonts w:hint="eastAsia" w:ascii="Times New Roman" w:eastAsia="仿宋_GB2312" w:cs="仿宋_GB2312"/>
          <w:b w:val="0"/>
          <w:sz w:val="28"/>
          <w:szCs w:val="28"/>
        </w:rPr>
        <w:t>二、机构设置</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_Toc562851616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8</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0"/>
        <w:tabs>
          <w:tab w:val="right" w:leader="dot" w:pos="8306"/>
        </w:tabs>
        <w:spacing w:before="0" w:line="560" w:lineRule="exact"/>
        <w:rPr>
          <w:rFonts w:ascii="Times New Roman" w:eastAsia="仿宋_GB2312" w:cs="仿宋_GB2312"/>
          <w:b w:val="0"/>
          <w:i w:val="0"/>
          <w:iCs w:val="0"/>
          <w:sz w:val="28"/>
          <w:szCs w:val="28"/>
        </w:rPr>
      </w:pPr>
      <w:r>
        <w:fldChar w:fldCharType="begin"/>
      </w:r>
      <w:r>
        <w:instrText xml:space="preserve"> HYPERLINK \l "_Toc1488896014" </w:instrText>
      </w:r>
      <w:r>
        <w:fldChar w:fldCharType="separate"/>
      </w:r>
      <w:r>
        <w:rPr>
          <w:rFonts w:hint="eastAsia" w:ascii="Times New Roman" w:eastAsia="仿宋_GB2312" w:cs="仿宋_GB2312"/>
          <w:b w:val="0"/>
          <w:i w:val="0"/>
          <w:iCs w:val="0"/>
          <w:sz w:val="28"/>
          <w:szCs w:val="28"/>
        </w:rPr>
        <w:t>第二部分 2021年度部门决算情况说明</w:t>
      </w:r>
      <w:r>
        <w:rPr>
          <w:rFonts w:hint="eastAsia" w:ascii="Times New Roman" w:eastAsia="仿宋_GB2312" w:cs="仿宋_GB2312"/>
          <w:b w:val="0"/>
          <w:i w:val="0"/>
          <w:iCs w:val="0"/>
          <w:sz w:val="28"/>
          <w:szCs w:val="28"/>
        </w:rPr>
        <w:tab/>
      </w:r>
      <w:r>
        <w:rPr>
          <w:rFonts w:hint="eastAsia" w:ascii="Times New Roman" w:eastAsia="仿宋_GB2312" w:cs="仿宋_GB2312"/>
          <w:b w:val="0"/>
          <w:i w:val="0"/>
          <w:iCs w:val="0"/>
          <w:sz w:val="28"/>
          <w:szCs w:val="28"/>
        </w:rPr>
        <w:fldChar w:fldCharType="begin"/>
      </w:r>
      <w:r>
        <w:rPr>
          <w:rFonts w:hint="eastAsia" w:ascii="Times New Roman" w:eastAsia="仿宋_GB2312" w:cs="仿宋_GB2312"/>
          <w:b w:val="0"/>
          <w:i w:val="0"/>
          <w:iCs w:val="0"/>
          <w:sz w:val="28"/>
          <w:szCs w:val="28"/>
        </w:rPr>
        <w:instrText xml:space="preserve"> PAGEREF _Toc1488896014 </w:instrText>
      </w:r>
      <w:r>
        <w:rPr>
          <w:rFonts w:hint="eastAsia" w:ascii="Times New Roman" w:eastAsia="仿宋_GB2312" w:cs="仿宋_GB2312"/>
          <w:b w:val="0"/>
          <w:i w:val="0"/>
          <w:iCs w:val="0"/>
          <w:sz w:val="28"/>
          <w:szCs w:val="28"/>
        </w:rPr>
        <w:fldChar w:fldCharType="separate"/>
      </w:r>
      <w:r>
        <w:rPr>
          <w:rFonts w:hint="eastAsia" w:ascii="Times New Roman" w:eastAsia="仿宋_GB2312" w:cs="仿宋_GB2312"/>
          <w:b w:val="0"/>
          <w:i w:val="0"/>
          <w:iCs w:val="0"/>
          <w:sz w:val="28"/>
          <w:szCs w:val="28"/>
        </w:rPr>
        <w:t>10</w:t>
      </w:r>
      <w:r>
        <w:rPr>
          <w:rFonts w:hint="eastAsia" w:ascii="Times New Roman" w:eastAsia="仿宋_GB2312" w:cs="仿宋_GB2312"/>
          <w:b w:val="0"/>
          <w:i w:val="0"/>
          <w:iCs w:val="0"/>
          <w:sz w:val="28"/>
          <w:szCs w:val="28"/>
        </w:rPr>
        <w:fldChar w:fldCharType="end"/>
      </w:r>
      <w:r>
        <w:rPr>
          <w:rFonts w:hint="eastAsia" w:ascii="Times New Roman" w:eastAsia="仿宋_GB2312" w:cs="仿宋_GB2312"/>
          <w:b w:val="0"/>
          <w:i w:val="0"/>
          <w:iCs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"_Toc423742528" </w:instrText>
      </w:r>
      <w:r>
        <w:fldChar w:fldCharType="separate"/>
      </w:r>
      <w:r>
        <w:rPr>
          <w:rFonts w:hint="eastAsia" w:ascii="Times New Roman" w:eastAsia="仿宋_GB2312" w:cs="仿宋_GB2312"/>
          <w:b w:val="0"/>
          <w:sz w:val="28"/>
          <w:szCs w:val="28"/>
        </w:rPr>
        <w:t>一、 收入支出决算总体情况说明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_Toc423742528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10</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"_Toc860298419" </w:instrText>
      </w:r>
      <w:r>
        <w:fldChar w:fldCharType="separate"/>
      </w:r>
      <w:r>
        <w:rPr>
          <w:rFonts w:hint="eastAsia" w:ascii="Times New Roman" w:eastAsia="仿宋_GB2312" w:cs="仿宋_GB2312"/>
          <w:b w:val="0"/>
          <w:sz w:val="28"/>
          <w:szCs w:val="28"/>
        </w:rPr>
        <w:t>二、 收入决算情况说明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_Toc860298419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10</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"_Toc492235082" </w:instrText>
      </w:r>
      <w:r>
        <w:fldChar w:fldCharType="separate"/>
      </w:r>
      <w:r>
        <w:rPr>
          <w:rFonts w:hint="eastAsia" w:ascii="Times New Roman" w:eastAsia="仿宋_GB2312" w:cs="仿宋_GB2312"/>
          <w:b w:val="0"/>
          <w:sz w:val="28"/>
          <w:szCs w:val="28"/>
        </w:rPr>
        <w:t>三、 支出决算情况说明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_Toc492235082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11</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"_Toc620090018" </w:instrText>
      </w:r>
      <w:r>
        <w:fldChar w:fldCharType="separate"/>
      </w:r>
      <w:r>
        <w:rPr>
          <w:rFonts w:hint="eastAsia" w:ascii="Times New Roman" w:eastAsia="仿宋_GB2312" w:cs="仿宋_GB2312"/>
          <w:b w:val="0"/>
          <w:sz w:val="28"/>
          <w:szCs w:val="28"/>
        </w:rPr>
        <w:t>四、财政拨款收入支出决算总体情况说明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_Toc620090018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11</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"_Toc221029078" </w:instrText>
      </w:r>
      <w:r>
        <w:fldChar w:fldCharType="separate"/>
      </w:r>
      <w:r>
        <w:rPr>
          <w:rFonts w:hint="eastAsia" w:ascii="Times New Roman" w:eastAsia="仿宋_GB2312" w:cs="仿宋_GB2312"/>
          <w:b w:val="0"/>
          <w:sz w:val="28"/>
          <w:szCs w:val="28"/>
        </w:rPr>
        <w:t>五、一般公共预算财政拨款支出决算情况说明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_Toc221029078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"_Toc1969056280" </w:instrText>
      </w:r>
      <w:r>
        <w:fldChar w:fldCharType="separate"/>
      </w:r>
      <w:r>
        <w:rPr>
          <w:rFonts w:hint="eastAsia" w:ascii="Times New Roman" w:eastAsia="仿宋_GB2312" w:cs="仿宋_GB2312"/>
          <w:b w:val="0"/>
          <w:sz w:val="28"/>
          <w:szCs w:val="28"/>
        </w:rPr>
        <w:t>六、一般公共预算财政拨款基本支出决算情况说明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_Toc1969056280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14</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"_Toc430598489" </w:instrText>
      </w:r>
      <w:r>
        <w:fldChar w:fldCharType="separate"/>
      </w:r>
      <w:r>
        <w:rPr>
          <w:rFonts w:hint="eastAsia" w:ascii="Times New Roman" w:eastAsia="仿宋_GB2312" w:cs="仿宋_GB2312"/>
          <w:b w:val="0"/>
          <w:sz w:val="28"/>
          <w:szCs w:val="28"/>
        </w:rPr>
        <w:t>七、“三公”经费财政拨款支出决算情况说明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_Toc430598489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15</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"_Toc1328269910" </w:instrText>
      </w:r>
      <w:r>
        <w:fldChar w:fldCharType="separate"/>
      </w:r>
      <w:r>
        <w:rPr>
          <w:rFonts w:hint="eastAsia" w:ascii="Times New Roman" w:eastAsia="仿宋_GB2312" w:cs="仿宋_GB2312"/>
          <w:b w:val="0"/>
          <w:sz w:val="28"/>
          <w:szCs w:val="28"/>
        </w:rPr>
        <w:t>八、政府性基金预算支出决算情况说明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_Toc1328269910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17</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"_Toc735578109" </w:instrText>
      </w:r>
      <w:r>
        <w:fldChar w:fldCharType="separate"/>
      </w:r>
      <w:r>
        <w:rPr>
          <w:rFonts w:hint="eastAsia" w:ascii="Times New Roman" w:eastAsia="仿宋_GB2312" w:cs="仿宋_GB2312"/>
          <w:b w:val="0"/>
          <w:sz w:val="28"/>
          <w:szCs w:val="28"/>
        </w:rPr>
        <w:t>九、 国有资本经营预算支出决算情况说明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_Toc735578109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17</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"_Toc2065010324" </w:instrText>
      </w:r>
      <w:r>
        <w:fldChar w:fldCharType="separate"/>
      </w:r>
      <w:r>
        <w:rPr>
          <w:rFonts w:hint="eastAsia" w:ascii="Times New Roman" w:eastAsia="仿宋_GB2312" w:cs="仿宋_GB2312"/>
          <w:b w:val="0"/>
          <w:sz w:val="28"/>
          <w:szCs w:val="28"/>
        </w:rPr>
        <w:t>十、其他重要事项的情况说明</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_Toc2065010324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17</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0"/>
        <w:tabs>
          <w:tab w:val="right" w:leader="dot" w:pos="8306"/>
        </w:tabs>
        <w:spacing w:before="0" w:line="560" w:lineRule="exact"/>
        <w:rPr>
          <w:rFonts w:ascii="Times New Roman" w:eastAsia="仿宋_GB2312" w:cs="仿宋_GB2312"/>
          <w:b w:val="0"/>
          <w:i w:val="0"/>
          <w:iCs w:val="0"/>
          <w:sz w:val="28"/>
          <w:szCs w:val="28"/>
        </w:rPr>
      </w:pPr>
      <w:r>
        <w:fldChar w:fldCharType="begin"/>
      </w:r>
      <w:r>
        <w:instrText xml:space="preserve"> HYPERLINK \l "_Toc729370165" </w:instrText>
      </w:r>
      <w:r>
        <w:fldChar w:fldCharType="separate"/>
      </w:r>
      <w:r>
        <w:rPr>
          <w:rFonts w:hint="eastAsia" w:ascii="Times New Roman" w:eastAsia="仿宋_GB2312" w:cs="仿宋_GB2312"/>
          <w:b w:val="0"/>
          <w:i w:val="0"/>
          <w:iCs w:val="0"/>
          <w:sz w:val="28"/>
          <w:szCs w:val="28"/>
        </w:rPr>
        <w:t>第三部分 名词解释</w:t>
      </w:r>
      <w:r>
        <w:rPr>
          <w:rFonts w:hint="eastAsia" w:ascii="Times New Roman" w:eastAsia="仿宋_GB2312" w:cs="仿宋_GB2312"/>
          <w:b w:val="0"/>
          <w:i w:val="0"/>
          <w:iCs w:val="0"/>
          <w:sz w:val="28"/>
          <w:szCs w:val="28"/>
        </w:rPr>
        <w:tab/>
      </w:r>
      <w:r>
        <w:rPr>
          <w:rFonts w:hint="eastAsia" w:ascii="Times New Roman" w:eastAsia="仿宋_GB2312" w:cs="仿宋_GB2312"/>
          <w:b w:val="0"/>
          <w:i w:val="0"/>
          <w:iCs w:val="0"/>
          <w:sz w:val="28"/>
          <w:szCs w:val="28"/>
        </w:rPr>
        <w:fldChar w:fldCharType="begin"/>
      </w:r>
      <w:r>
        <w:rPr>
          <w:rFonts w:hint="eastAsia" w:ascii="Times New Roman" w:eastAsia="仿宋_GB2312" w:cs="仿宋_GB2312"/>
          <w:b w:val="0"/>
          <w:i w:val="0"/>
          <w:iCs w:val="0"/>
          <w:sz w:val="28"/>
          <w:szCs w:val="28"/>
        </w:rPr>
        <w:instrText xml:space="preserve"> PAGEREF _Toc729370165 </w:instrText>
      </w:r>
      <w:r>
        <w:rPr>
          <w:rFonts w:hint="eastAsia" w:ascii="Times New Roman" w:eastAsia="仿宋_GB2312" w:cs="仿宋_GB2312"/>
          <w:b w:val="0"/>
          <w:i w:val="0"/>
          <w:iCs w:val="0"/>
          <w:sz w:val="28"/>
          <w:szCs w:val="28"/>
        </w:rPr>
        <w:fldChar w:fldCharType="separate"/>
      </w:r>
      <w:r>
        <w:rPr>
          <w:rFonts w:hint="eastAsia" w:ascii="Times New Roman" w:eastAsia="仿宋_GB2312" w:cs="仿宋_GB2312"/>
          <w:b w:val="0"/>
          <w:i w:val="0"/>
          <w:iCs w:val="0"/>
          <w:sz w:val="28"/>
          <w:szCs w:val="28"/>
        </w:rPr>
        <w:t>19</w:t>
      </w:r>
      <w:r>
        <w:rPr>
          <w:rFonts w:hint="eastAsia" w:ascii="Times New Roman" w:eastAsia="仿宋_GB2312" w:cs="仿宋_GB2312"/>
          <w:b w:val="0"/>
          <w:i w:val="0"/>
          <w:iCs w:val="0"/>
          <w:sz w:val="28"/>
          <w:szCs w:val="28"/>
        </w:rPr>
        <w:fldChar w:fldCharType="end"/>
      </w:r>
      <w:r>
        <w:rPr>
          <w:rFonts w:hint="eastAsia" w:ascii="Times New Roman" w:eastAsia="仿宋_GB2312" w:cs="仿宋_GB2312"/>
          <w:b w:val="0"/>
          <w:i w:val="0"/>
          <w:iCs w:val="0"/>
          <w:sz w:val="28"/>
          <w:szCs w:val="28"/>
        </w:rPr>
        <w:fldChar w:fldCharType="end"/>
      </w:r>
    </w:p>
    <w:p>
      <w:pPr>
        <w:pStyle w:val="10"/>
        <w:tabs>
          <w:tab w:val="right" w:leader="dot" w:pos="8306"/>
        </w:tabs>
        <w:spacing w:before="0" w:line="560" w:lineRule="exact"/>
        <w:rPr>
          <w:rFonts w:ascii="Times New Roman" w:eastAsia="仿宋_GB2312" w:cs="仿宋_GB2312"/>
          <w:b w:val="0"/>
          <w:i w:val="0"/>
          <w:iCs w:val="0"/>
          <w:sz w:val="28"/>
          <w:szCs w:val="28"/>
        </w:rPr>
      </w:pPr>
      <w:r>
        <w:fldChar w:fldCharType="begin"/>
      </w:r>
      <w:r>
        <w:instrText xml:space="preserve"> HYPERLINK \l "_Toc722360890" </w:instrText>
      </w:r>
      <w:r>
        <w:fldChar w:fldCharType="separate"/>
      </w:r>
      <w:r>
        <w:rPr>
          <w:rFonts w:hint="eastAsia" w:ascii="Times New Roman" w:eastAsia="仿宋_GB2312" w:cs="仿宋_GB2312"/>
          <w:b w:val="0"/>
          <w:i w:val="0"/>
          <w:iCs w:val="0"/>
          <w:sz w:val="28"/>
          <w:szCs w:val="28"/>
        </w:rPr>
        <w:t>第四部分 附件</w:t>
      </w:r>
      <w:r>
        <w:rPr>
          <w:rFonts w:hint="eastAsia" w:ascii="Times New Roman" w:eastAsia="仿宋_GB2312" w:cs="仿宋_GB2312"/>
          <w:b w:val="0"/>
          <w:i w:val="0"/>
          <w:iCs w:val="0"/>
          <w:sz w:val="28"/>
          <w:szCs w:val="28"/>
        </w:rPr>
        <w:tab/>
      </w:r>
      <w:r>
        <w:rPr>
          <w:rFonts w:hint="eastAsia" w:ascii="Times New Roman" w:eastAsia="仿宋_GB2312" w:cs="仿宋_GB2312"/>
          <w:b w:val="0"/>
          <w:i w:val="0"/>
          <w:iCs w:val="0"/>
          <w:sz w:val="28"/>
          <w:szCs w:val="28"/>
        </w:rPr>
        <w:fldChar w:fldCharType="begin"/>
      </w:r>
      <w:r>
        <w:rPr>
          <w:rFonts w:hint="eastAsia" w:ascii="Times New Roman" w:eastAsia="仿宋_GB2312" w:cs="仿宋_GB2312"/>
          <w:b w:val="0"/>
          <w:i w:val="0"/>
          <w:iCs w:val="0"/>
          <w:sz w:val="28"/>
          <w:szCs w:val="28"/>
        </w:rPr>
        <w:instrText xml:space="preserve"> PAGEREF _Toc722360890 </w:instrText>
      </w:r>
      <w:r>
        <w:rPr>
          <w:rFonts w:hint="eastAsia" w:ascii="Times New Roman" w:eastAsia="仿宋_GB2312" w:cs="仿宋_GB2312"/>
          <w:b w:val="0"/>
          <w:i w:val="0"/>
          <w:iCs w:val="0"/>
          <w:sz w:val="28"/>
          <w:szCs w:val="28"/>
        </w:rPr>
        <w:fldChar w:fldCharType="separate"/>
      </w:r>
      <w:r>
        <w:rPr>
          <w:rFonts w:hint="eastAsia" w:ascii="Times New Roman" w:eastAsia="仿宋_GB2312" w:cs="仿宋_GB2312"/>
          <w:b w:val="0"/>
          <w:i w:val="0"/>
          <w:iCs w:val="0"/>
          <w:sz w:val="28"/>
          <w:szCs w:val="28"/>
        </w:rPr>
        <w:t>22</w:t>
      </w:r>
      <w:r>
        <w:rPr>
          <w:rFonts w:hint="eastAsia" w:ascii="Times New Roman" w:eastAsia="仿宋_GB2312" w:cs="仿宋_GB2312"/>
          <w:b w:val="0"/>
          <w:i w:val="0"/>
          <w:iCs w:val="0"/>
          <w:sz w:val="28"/>
          <w:szCs w:val="28"/>
        </w:rPr>
        <w:fldChar w:fldCharType="end"/>
      </w:r>
      <w:r>
        <w:rPr>
          <w:rFonts w:hint="eastAsia" w:ascii="Times New Roman" w:eastAsia="仿宋_GB2312" w:cs="仿宋_GB2312"/>
          <w:b w:val="0"/>
          <w:i w:val="0"/>
          <w:iCs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"_Toc953741183" </w:instrText>
      </w:r>
      <w:r>
        <w:fldChar w:fldCharType="separate"/>
      </w:r>
      <w:r>
        <w:rPr>
          <w:rFonts w:hint="eastAsia" w:ascii="Times New Roman" w:eastAsia="仿宋_GB2312" w:cs="仿宋_GB2312"/>
          <w:b w:val="0"/>
          <w:sz w:val="28"/>
          <w:szCs w:val="28"/>
        </w:rPr>
        <w:t>附件1</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_Toc953741183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22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"_Toc670961276" </w:instrText>
      </w:r>
      <w:r>
        <w:fldChar w:fldCharType="separate"/>
      </w:r>
      <w:r>
        <w:rPr>
          <w:rFonts w:hint="eastAsia" w:ascii="Times New Roman" w:eastAsia="仿宋_GB2312" w:cs="仿宋_GB2312"/>
          <w:b w:val="0"/>
          <w:sz w:val="28"/>
          <w:szCs w:val="28"/>
          <w:lang w:bidi="ar"/>
        </w:rPr>
        <w:t>附件2</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_Toc670961276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24</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"_Toc31900874" </w:instrText>
      </w:r>
      <w:r>
        <w:fldChar w:fldCharType="separate"/>
      </w:r>
      <w:r>
        <w:rPr>
          <w:rFonts w:hint="eastAsia" w:ascii="Times New Roman" w:eastAsia="仿宋_GB2312" w:cs="仿宋_GB2312"/>
          <w:b w:val="0"/>
          <w:sz w:val="28"/>
          <w:szCs w:val="28"/>
          <w:lang w:bidi="ar"/>
        </w:rPr>
        <w:t>附件3</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_Toc31900874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53</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0"/>
        <w:tabs>
          <w:tab w:val="right" w:leader="dot" w:pos="8306"/>
        </w:tabs>
        <w:spacing w:before="0" w:line="560" w:lineRule="exact"/>
        <w:rPr>
          <w:rFonts w:ascii="Times New Roman" w:eastAsia="仿宋_GB2312" w:cs="仿宋_GB2312"/>
          <w:b w:val="0"/>
          <w:i w:val="0"/>
          <w:iCs w:val="0"/>
          <w:sz w:val="28"/>
          <w:szCs w:val="28"/>
        </w:rPr>
      </w:pPr>
      <w:r>
        <w:fldChar w:fldCharType="begin"/>
      </w:r>
      <w:r>
        <w:instrText xml:space="preserve"> HYPERLINK \l "_Toc1870001886" </w:instrText>
      </w:r>
      <w:r>
        <w:fldChar w:fldCharType="separate"/>
      </w:r>
      <w:r>
        <w:rPr>
          <w:rFonts w:hint="eastAsia" w:ascii="Times New Roman" w:eastAsia="仿宋_GB2312" w:cs="仿宋_GB2312"/>
          <w:b w:val="0"/>
          <w:i w:val="0"/>
          <w:iCs w:val="0"/>
          <w:sz w:val="28"/>
          <w:szCs w:val="28"/>
        </w:rPr>
        <w:t>第五部分 附表</w:t>
      </w:r>
      <w:r>
        <w:rPr>
          <w:rFonts w:hint="eastAsia" w:ascii="Times New Roman" w:eastAsia="仿宋_GB2312" w:cs="仿宋_GB2312"/>
          <w:b w:val="0"/>
          <w:i w:val="0"/>
          <w:iCs w:val="0"/>
          <w:sz w:val="28"/>
          <w:szCs w:val="28"/>
        </w:rPr>
        <w:tab/>
      </w:r>
      <w:r>
        <w:rPr>
          <w:rFonts w:hint="eastAsia" w:ascii="Times New Roman" w:eastAsia="仿宋_GB2312" w:cs="仿宋_GB2312"/>
          <w:b w:val="0"/>
          <w:i w:val="0"/>
          <w:iCs w:val="0"/>
          <w:sz w:val="28"/>
          <w:szCs w:val="28"/>
        </w:rPr>
        <w:fldChar w:fldCharType="begin"/>
      </w:r>
      <w:r>
        <w:rPr>
          <w:rFonts w:hint="eastAsia" w:ascii="Times New Roman" w:eastAsia="仿宋_GB2312" w:cs="仿宋_GB2312"/>
          <w:b w:val="0"/>
          <w:i w:val="0"/>
          <w:iCs w:val="0"/>
          <w:sz w:val="28"/>
          <w:szCs w:val="28"/>
        </w:rPr>
        <w:instrText xml:space="preserve"> PAGEREF _Toc1870001886 </w:instrText>
      </w:r>
      <w:r>
        <w:rPr>
          <w:rFonts w:hint="eastAsia" w:ascii="Times New Roman" w:eastAsia="仿宋_GB2312" w:cs="仿宋_GB2312"/>
          <w:b w:val="0"/>
          <w:i w:val="0"/>
          <w:iCs w:val="0"/>
          <w:sz w:val="28"/>
          <w:szCs w:val="28"/>
        </w:rPr>
        <w:fldChar w:fldCharType="separate"/>
      </w:r>
      <w:r>
        <w:rPr>
          <w:rFonts w:hint="eastAsia" w:ascii="Times New Roman" w:eastAsia="仿宋_GB2312" w:cs="仿宋_GB2312"/>
          <w:b w:val="0"/>
          <w:i w:val="0"/>
          <w:iCs w:val="0"/>
          <w:sz w:val="28"/>
          <w:szCs w:val="28"/>
        </w:rPr>
        <w:t>54</w:t>
      </w:r>
      <w:r>
        <w:rPr>
          <w:rFonts w:hint="eastAsia" w:ascii="Times New Roman" w:eastAsia="仿宋_GB2312" w:cs="仿宋_GB2312"/>
          <w:b w:val="0"/>
          <w:i w:val="0"/>
          <w:iCs w:val="0"/>
          <w:sz w:val="28"/>
          <w:szCs w:val="28"/>
        </w:rPr>
        <w:fldChar w:fldCharType="end"/>
      </w:r>
      <w:r>
        <w:rPr>
          <w:rFonts w:hint="eastAsia" w:ascii="Times New Roman" w:eastAsia="仿宋_GB2312" w:cs="仿宋_GB2312"/>
          <w:b w:val="0"/>
          <w:i w:val="0"/>
          <w:iCs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"_Toc1390867476" </w:instrText>
      </w:r>
      <w:r>
        <w:fldChar w:fldCharType="separate"/>
      </w:r>
      <w:r>
        <w:rPr>
          <w:rFonts w:hint="eastAsia" w:ascii="Times New Roman" w:eastAsia="仿宋_GB2312" w:cs="仿宋_GB2312"/>
          <w:b w:val="0"/>
          <w:sz w:val="28"/>
          <w:szCs w:val="28"/>
        </w:rPr>
        <w:t>一、收入支出决算总表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_Toc1390867476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"_Toc1652251637" </w:instrText>
      </w:r>
      <w:r>
        <w:fldChar w:fldCharType="separate"/>
      </w:r>
      <w:r>
        <w:rPr>
          <w:rFonts w:hint="eastAsia" w:ascii="Times New Roman" w:eastAsia="仿宋_GB2312" w:cs="仿宋_GB2312"/>
          <w:b w:val="0"/>
          <w:sz w:val="28"/>
          <w:szCs w:val="28"/>
        </w:rPr>
        <w:t>二、收入决算表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_Toc1652251637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"_Toc1702751313" </w:instrText>
      </w:r>
      <w:r>
        <w:fldChar w:fldCharType="separate"/>
      </w:r>
      <w:r>
        <w:rPr>
          <w:rFonts w:hint="eastAsia" w:ascii="Times New Roman" w:eastAsia="仿宋_GB2312" w:cs="仿宋_GB2312"/>
          <w:b w:val="0"/>
          <w:sz w:val="28"/>
          <w:szCs w:val="28"/>
        </w:rPr>
        <w:t>三、支出决算表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_Toc1702751313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"_Toc70839370" </w:instrText>
      </w:r>
      <w:r>
        <w:fldChar w:fldCharType="separate"/>
      </w:r>
      <w:r>
        <w:rPr>
          <w:rFonts w:hint="eastAsia" w:ascii="Times New Roman" w:eastAsia="仿宋_GB2312" w:cs="仿宋_GB2312"/>
          <w:b w:val="0"/>
          <w:sz w:val="28"/>
          <w:szCs w:val="28"/>
        </w:rPr>
        <w:t>四、财政拨款收入支出决算总表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_Toc70839370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"_Toc1081891879" </w:instrText>
      </w:r>
      <w:r>
        <w:fldChar w:fldCharType="separate"/>
      </w:r>
      <w:r>
        <w:rPr>
          <w:rFonts w:hint="eastAsia" w:ascii="Times New Roman" w:eastAsia="仿宋_GB2312" w:cs="仿宋_GB2312"/>
          <w:b w:val="0"/>
          <w:sz w:val="28"/>
          <w:szCs w:val="28"/>
        </w:rPr>
        <w:t>五、财政拨款支出决算明细表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_Toc1081891879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"_Toc1989199869" </w:instrText>
      </w:r>
      <w:r>
        <w:fldChar w:fldCharType="separate"/>
      </w:r>
      <w:r>
        <w:rPr>
          <w:rFonts w:hint="eastAsia" w:ascii="Times New Roman" w:eastAsia="仿宋_GB2312" w:cs="仿宋_GB2312"/>
          <w:b w:val="0"/>
          <w:sz w:val="28"/>
          <w:szCs w:val="28"/>
        </w:rPr>
        <w:t>六、一般公共预算财政拨款支出决算表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_Toc1989199869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"_Toc1045583567" </w:instrText>
      </w:r>
      <w:r>
        <w:fldChar w:fldCharType="separate"/>
      </w:r>
      <w:r>
        <w:rPr>
          <w:rFonts w:hint="eastAsia" w:ascii="Times New Roman" w:eastAsia="仿宋_GB2312" w:cs="仿宋_GB2312"/>
          <w:b w:val="0"/>
          <w:sz w:val="28"/>
          <w:szCs w:val="28"/>
        </w:rPr>
        <w:t>七、一般公共预算财政拨款支出决算明细表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_Toc1045583567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"_Toc587521124" </w:instrText>
      </w:r>
      <w:r>
        <w:fldChar w:fldCharType="separate"/>
      </w:r>
      <w:r>
        <w:rPr>
          <w:rFonts w:hint="eastAsia" w:ascii="Times New Roman" w:eastAsia="仿宋_GB2312" w:cs="仿宋_GB2312"/>
          <w:b w:val="0"/>
          <w:sz w:val="28"/>
          <w:szCs w:val="28"/>
        </w:rPr>
        <w:t>八、一般公共预算财政拨款基本支出决算表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_Toc587521124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"_Toc1049968431" </w:instrText>
      </w:r>
      <w:r>
        <w:fldChar w:fldCharType="separate"/>
      </w:r>
      <w:r>
        <w:rPr>
          <w:rFonts w:hint="eastAsia" w:ascii="Times New Roman" w:eastAsia="仿宋_GB2312" w:cs="仿宋_GB2312"/>
          <w:b w:val="0"/>
          <w:sz w:val="28"/>
          <w:szCs w:val="28"/>
        </w:rPr>
        <w:t>九、一般公共预算财政拨款项目支出决算表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_Toc1049968431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"_Toc384490029" </w:instrText>
      </w:r>
      <w:r>
        <w:fldChar w:fldCharType="separate"/>
      </w:r>
      <w:r>
        <w:rPr>
          <w:rFonts w:hint="eastAsia" w:ascii="Times New Roman" w:eastAsia="仿宋_GB2312" w:cs="仿宋_GB2312"/>
          <w:b w:val="0"/>
          <w:sz w:val="28"/>
          <w:szCs w:val="28"/>
        </w:rPr>
        <w:t>十、一般公共预算财政拨款“三公”经费支出决算表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_Toc384490029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"_Toc2103171247" </w:instrText>
      </w:r>
      <w:r>
        <w:fldChar w:fldCharType="separate"/>
      </w:r>
      <w:r>
        <w:rPr>
          <w:rFonts w:hint="eastAsia" w:ascii="Times New Roman" w:eastAsia="仿宋_GB2312" w:cs="仿宋_GB2312"/>
          <w:b w:val="0"/>
          <w:sz w:val="28"/>
          <w:szCs w:val="28"/>
        </w:rPr>
        <w:t>十一、政府性基金预算财政拨款收入支出决算表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_Toc2103171247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"_Toc1373897022" </w:instrText>
      </w:r>
      <w:r>
        <w:fldChar w:fldCharType="separate"/>
      </w:r>
      <w:r>
        <w:rPr>
          <w:rFonts w:hint="eastAsia" w:ascii="Times New Roman" w:eastAsia="仿宋_GB2312" w:cs="仿宋_GB2312"/>
          <w:b w:val="0"/>
          <w:sz w:val="28"/>
          <w:szCs w:val="28"/>
        </w:rPr>
        <w:t>十二、政府性基金预算财政拨款“三公”经费支出决算表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_Toc1373897022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eastAsia="仿宋_GB2312" w:cs="仿宋_GB2312"/>
          <w:b w:val="0"/>
          <w:sz w:val="28"/>
          <w:szCs w:val="28"/>
        </w:rPr>
      </w:pPr>
      <w:r>
        <w:fldChar w:fldCharType="begin"/>
      </w:r>
      <w:r>
        <w:instrText xml:space="preserve"> HYPERLINK \l "_Toc899647348" </w:instrText>
      </w:r>
      <w:r>
        <w:fldChar w:fldCharType="separate"/>
      </w:r>
      <w:r>
        <w:rPr>
          <w:rFonts w:hint="eastAsia" w:ascii="Times New Roman" w:eastAsia="仿宋_GB2312" w:cs="仿宋_GB2312"/>
          <w:b w:val="0"/>
          <w:sz w:val="28"/>
          <w:szCs w:val="28"/>
        </w:rPr>
        <w:t>十三、国有资本经营预算财政拨款收入支出决算表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_Toc899647348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pStyle w:val="11"/>
        <w:tabs>
          <w:tab w:val="right" w:leader="dot" w:pos="8306"/>
        </w:tabs>
        <w:spacing w:before="0" w:line="560" w:lineRule="exact"/>
        <w:ind w:left="0"/>
        <w:rPr>
          <w:rFonts w:ascii="Times New Roman"/>
        </w:rPr>
      </w:pPr>
      <w:r>
        <w:fldChar w:fldCharType="begin"/>
      </w:r>
      <w:r>
        <w:instrText xml:space="preserve"> HYPERLINK \l "_Toc518539215" </w:instrText>
      </w:r>
      <w:r>
        <w:fldChar w:fldCharType="separate"/>
      </w:r>
      <w:r>
        <w:rPr>
          <w:rFonts w:hint="eastAsia" w:ascii="Times New Roman" w:eastAsia="仿宋_GB2312" w:cs="仿宋_GB2312"/>
          <w:b w:val="0"/>
          <w:sz w:val="28"/>
          <w:szCs w:val="28"/>
        </w:rPr>
        <w:t>十四、国有资本经营预算财政拨款支出决算表</w:t>
      </w:r>
      <w:r>
        <w:rPr>
          <w:rFonts w:hint="eastAsia" w:ascii="Times New Roman" w:eastAsia="仿宋_GB2312" w:cs="仿宋_GB2312"/>
          <w:b w:val="0"/>
          <w:sz w:val="28"/>
          <w:szCs w:val="28"/>
        </w:rPr>
        <w:tab/>
      </w:r>
      <w:r>
        <w:rPr>
          <w:rFonts w:hint="eastAsia" w:ascii="Times New Roman" w:eastAsia="仿宋_GB2312" w:cs="仿宋_GB2312"/>
          <w:b w:val="0"/>
          <w:sz w:val="28"/>
          <w:szCs w:val="28"/>
        </w:rPr>
        <w:fldChar w:fldCharType="begin"/>
      </w:r>
      <w:r>
        <w:rPr>
          <w:rFonts w:hint="eastAsia" w:ascii="Times New Roman" w:eastAsia="仿宋_GB2312" w:cs="仿宋_GB2312"/>
          <w:b w:val="0"/>
          <w:sz w:val="28"/>
          <w:szCs w:val="28"/>
        </w:rPr>
        <w:instrText xml:space="preserve"> PAGEREF _Toc518539215 </w:instrText>
      </w:r>
      <w:r>
        <w:rPr>
          <w:rFonts w:hint="eastAsia" w:ascii="Times New Roman" w:eastAsia="仿宋_GB2312" w:cs="仿宋_GB2312"/>
          <w:b w:val="0"/>
          <w:sz w:val="28"/>
          <w:szCs w:val="28"/>
        </w:rPr>
        <w:fldChar w:fldCharType="separate"/>
      </w:r>
      <w:r>
        <w:rPr>
          <w:rFonts w:hint="eastAsia" w:ascii="Times New Roman" w:eastAsia="仿宋_GB2312" w:cs="仿宋_GB2312"/>
          <w:b w:val="0"/>
          <w:sz w:val="28"/>
          <w:szCs w:val="28"/>
        </w:rPr>
        <w:t>72</w:t>
      </w:r>
      <w:r>
        <w:rPr>
          <w:rFonts w:hint="eastAsia" w:ascii="Times New Roman" w:eastAsia="仿宋_GB2312" w:cs="仿宋_GB2312"/>
          <w:b w:val="0"/>
          <w:sz w:val="28"/>
          <w:szCs w:val="28"/>
        </w:rPr>
        <w:fldChar w:fldCharType="end"/>
      </w:r>
      <w:r>
        <w:rPr>
          <w:rFonts w:hint="eastAsia" w:ascii="Times New Roman" w:eastAsia="仿宋_GB2312" w:cs="仿宋_GB2312"/>
          <w:b w:val="0"/>
          <w:sz w:val="28"/>
          <w:szCs w:val="28"/>
        </w:rPr>
        <w:fldChar w:fldCharType="end"/>
      </w:r>
    </w:p>
    <w:p>
      <w:pPr>
        <w:spacing w:line="560" w:lineRule="exact"/>
        <w:ind w:firstLine="2400" w:firstLineChars="750"/>
        <w:rPr>
          <w:b/>
          <w:bCs/>
          <w:color w:val="FF0000"/>
          <w:szCs w:val="32"/>
        </w:rPr>
      </w:pPr>
      <w:r>
        <w:rPr>
          <w:rFonts w:hint="eastAsia" w:cs="仿宋_GB2312"/>
          <w:szCs w:val="28"/>
        </w:rPr>
        <w:fldChar w:fldCharType="end"/>
      </w:r>
    </w:p>
    <w:p>
      <w:pPr>
        <w:spacing w:line="560" w:lineRule="exact"/>
      </w:pPr>
      <w:r>
        <w:br w:type="page"/>
      </w:r>
    </w:p>
    <w:p>
      <w:pPr>
        <w:pStyle w:val="5"/>
        <w:spacing w:before="0" w:after="0" w:line="560" w:lineRule="exact"/>
        <w:jc w:val="center"/>
        <w:rPr>
          <w:rStyle w:val="16"/>
          <w:rFonts w:eastAsia="黑体"/>
          <w:b/>
          <w:bCs w:val="0"/>
        </w:rPr>
      </w:pPr>
      <w:bookmarkStart w:id="0" w:name="_Toc323928591"/>
      <w:r>
        <w:rPr>
          <w:rFonts w:hint="eastAsia" w:eastAsia="黑体"/>
          <w:b w:val="0"/>
        </w:rPr>
        <w:t>第一部分</w:t>
      </w:r>
      <w:r>
        <w:rPr>
          <w:rFonts w:eastAsia="黑体"/>
          <w:b w:val="0"/>
        </w:rPr>
        <w:t xml:space="preserve"> </w:t>
      </w:r>
      <w:r>
        <w:rPr>
          <w:rStyle w:val="16"/>
          <w:rFonts w:hint="eastAsia" w:eastAsia="黑体"/>
          <w:b w:val="0"/>
          <w:bCs w:val="0"/>
        </w:rPr>
        <w:t>部门概况</w:t>
      </w:r>
      <w:bookmarkEnd w:id="0"/>
    </w:p>
    <w:p>
      <w:pPr>
        <w:widowControl/>
        <w:spacing w:line="560" w:lineRule="exact"/>
        <w:jc w:val="left"/>
        <w:rPr>
          <w:rFonts w:eastAsia="黑体"/>
          <w:color w:val="000000"/>
          <w:szCs w:val="32"/>
        </w:rPr>
      </w:pPr>
    </w:p>
    <w:p>
      <w:pPr>
        <w:pStyle w:val="6"/>
        <w:spacing w:before="0" w:after="0" w:line="560" w:lineRule="exact"/>
        <w:ind w:firstLine="640" w:firstLineChars="200"/>
        <w:rPr>
          <w:rStyle w:val="17"/>
          <w:rFonts w:ascii="Times New Roman" w:hAnsi="Times New Roman" w:eastAsia="仿宋"/>
          <w:b w:val="0"/>
          <w:bCs w:val="0"/>
        </w:rPr>
      </w:pPr>
      <w:bookmarkStart w:id="1" w:name="_Toc15396600"/>
      <w:bookmarkStart w:id="2" w:name="_Toc15377197"/>
      <w:bookmarkStart w:id="3" w:name="_Toc515157319"/>
      <w:r>
        <w:rPr>
          <w:rFonts w:hint="eastAsia" w:ascii="Times New Roman" w:hAnsi="Times New Roman" w:eastAsia="黑体"/>
          <w:b w:val="0"/>
          <w:color w:val="000000"/>
        </w:rPr>
        <w:t>一、基</w:t>
      </w:r>
      <w:r>
        <w:rPr>
          <w:rStyle w:val="17"/>
          <w:rFonts w:hint="eastAsia" w:ascii="Times New Roman" w:hAnsi="Times New Roman" w:eastAsia="黑体"/>
          <w:b w:val="0"/>
          <w:bCs w:val="0"/>
        </w:rPr>
        <w:t>本职能及主要工作</w:t>
      </w:r>
      <w:bookmarkEnd w:id="1"/>
      <w:bookmarkEnd w:id="2"/>
      <w:bookmarkEnd w:id="3"/>
    </w:p>
    <w:p>
      <w:pPr>
        <w:pStyle w:val="7"/>
        <w:adjustRightInd w:val="0"/>
        <w:snapToGrid w:val="0"/>
        <w:spacing w:beforeLines="0" w:line="560" w:lineRule="exact"/>
        <w:ind w:firstLine="675" w:firstLineChars="210"/>
        <w:outlineLvl w:val="2"/>
        <w:rPr>
          <w:rFonts w:ascii="Times New Roman" w:eastAsia="仿宋"/>
          <w:b/>
          <w:color w:val="000000"/>
          <w:sz w:val="32"/>
          <w:szCs w:val="32"/>
        </w:rPr>
      </w:pPr>
      <w:bookmarkStart w:id="4" w:name="_Toc15378445"/>
      <w:bookmarkStart w:id="5" w:name="_Toc15377198"/>
      <w:r>
        <w:rPr>
          <w:rFonts w:hint="eastAsia" w:ascii="Times New Roman" w:eastAsia="仿宋"/>
          <w:b/>
          <w:color w:val="000000"/>
          <w:sz w:val="32"/>
          <w:szCs w:val="32"/>
        </w:rPr>
        <w:t>（一）主要职能。</w:t>
      </w:r>
      <w:bookmarkEnd w:id="4"/>
      <w:bookmarkEnd w:id="5"/>
      <w:bookmarkStart w:id="6" w:name="_Toc15378446"/>
      <w:bookmarkStart w:id="7" w:name="_Toc15377199"/>
    </w:p>
    <w:p>
      <w:pPr>
        <w:widowControl/>
        <w:adjustRightInd w:val="0"/>
        <w:snapToGrid w:val="0"/>
        <w:spacing w:line="560" w:lineRule="exact"/>
        <w:ind w:firstLine="720"/>
        <w:jc w:val="left"/>
        <w:rPr>
          <w:rFonts w:eastAsia="仿宋" w:cs="仿宋"/>
          <w:kern w:val="0"/>
          <w:szCs w:val="32"/>
          <w:shd w:val="clear" w:color="auto" w:fill="FFFFFF"/>
          <w:lang w:val="zh-CN"/>
        </w:rPr>
      </w:pPr>
      <w:r>
        <w:rPr>
          <w:rFonts w:hint="eastAsia" w:eastAsia="仿宋" w:cs="仿宋"/>
        </w:rPr>
        <w:t>自贡市妇女联合会是中华全国妇女联合会的地方组织，是市委领导下的全市各族各界妇女的群众团体，是党和政府联系妇女群众的桥梁和纽带，是国家政权的重要社会支柱之一</w:t>
      </w:r>
      <w:r>
        <w:rPr>
          <w:rFonts w:hint="eastAsia" w:eastAsia="仿宋" w:cs="仿宋"/>
          <w:kern w:val="0"/>
          <w:szCs w:val="32"/>
          <w:shd w:val="clear" w:color="auto" w:fill="FFFFFF"/>
          <w:lang w:val="zh-CN"/>
        </w:rPr>
        <w:t>，其主要工作任务是：</w:t>
      </w:r>
    </w:p>
    <w:p>
      <w:pPr>
        <w:spacing w:line="560" w:lineRule="exact"/>
        <w:ind w:firstLine="704" w:firstLineChars="220"/>
        <w:rPr>
          <w:rFonts w:eastAsia="仿宋" w:cs="仿宋"/>
          <w:kern w:val="0"/>
          <w:szCs w:val="32"/>
          <w:shd w:val="clear" w:color="auto" w:fill="FFFFFF"/>
          <w:lang w:val="zh-CN"/>
        </w:rPr>
      </w:pPr>
      <w:r>
        <w:rPr>
          <w:rFonts w:hint="eastAsia" w:eastAsia="仿宋" w:cs="仿宋"/>
          <w:kern w:val="0"/>
          <w:szCs w:val="32"/>
          <w:shd w:val="clear" w:color="auto" w:fill="FFFFFF"/>
          <w:lang w:val="zh-CN"/>
        </w:rPr>
        <w:t>1.根据党的中心任务，指导各级妇联依据《中华全国妇女联合会章程》和妇女代表大会的决议，开展妇女儿童工作，联系团体会员，并给予业务指导。</w:t>
      </w:r>
    </w:p>
    <w:p>
      <w:pPr>
        <w:spacing w:line="560" w:lineRule="exact"/>
        <w:ind w:firstLine="704" w:firstLineChars="220"/>
        <w:rPr>
          <w:rFonts w:eastAsia="仿宋" w:cs="仿宋"/>
          <w:kern w:val="0"/>
          <w:szCs w:val="32"/>
          <w:shd w:val="clear" w:color="auto" w:fill="FFFFFF"/>
          <w:lang w:val="zh-CN"/>
        </w:rPr>
      </w:pPr>
      <w:r>
        <w:rPr>
          <w:rFonts w:hint="eastAsia" w:eastAsia="仿宋" w:cs="仿宋"/>
          <w:kern w:val="0"/>
          <w:szCs w:val="32"/>
          <w:shd w:val="clear" w:color="auto" w:fill="FFFFFF"/>
          <w:lang w:val="zh-CN"/>
        </w:rPr>
        <w:t>2.调查研究我市妇女儿童的情况、问题，及时向市委、市政府反映，并提出建议。</w:t>
      </w:r>
    </w:p>
    <w:p>
      <w:pPr>
        <w:spacing w:line="560" w:lineRule="exact"/>
        <w:ind w:firstLine="704" w:firstLineChars="220"/>
        <w:rPr>
          <w:rFonts w:eastAsia="仿宋" w:cs="仿宋"/>
          <w:kern w:val="0"/>
          <w:szCs w:val="32"/>
          <w:shd w:val="clear" w:color="auto" w:fill="FFFFFF"/>
          <w:lang w:val="zh-CN"/>
        </w:rPr>
      </w:pPr>
      <w:r>
        <w:rPr>
          <w:rFonts w:hint="eastAsia" w:eastAsia="仿宋" w:cs="仿宋"/>
          <w:kern w:val="0"/>
          <w:szCs w:val="32"/>
          <w:shd w:val="clear" w:color="auto" w:fill="FFFFFF"/>
          <w:lang w:val="zh-CN"/>
        </w:rPr>
        <w:t>3.组织动员妇女投身改革开放和社会主义现代化建设，指导全市城镇妇女的“巾帼建功”活动。</w:t>
      </w:r>
    </w:p>
    <w:p>
      <w:pPr>
        <w:spacing w:line="560" w:lineRule="exact"/>
        <w:rPr>
          <w:rFonts w:eastAsia="仿宋" w:cs="仿宋"/>
        </w:rPr>
      </w:pPr>
      <w:r>
        <w:rPr>
          <w:rFonts w:hint="eastAsia" w:eastAsia="仿宋" w:cs="仿宋"/>
        </w:rPr>
        <w:t xml:space="preserve">    4.指导各级妇联的宣传舆论工作。教育、引导广大妇女增强自尊、自信、自立、自强的精神，表彰各行各业先进妇女；开展多层次妇女干部培训和妇女职业技术培训，全面提高妇女素质，促进妇女人才成长。</w:t>
      </w:r>
    </w:p>
    <w:p>
      <w:pPr>
        <w:spacing w:line="560" w:lineRule="exact"/>
        <w:rPr>
          <w:rFonts w:eastAsia="仿宋" w:cs="仿宋"/>
        </w:rPr>
      </w:pPr>
      <w:r>
        <w:rPr>
          <w:rFonts w:hint="eastAsia" w:eastAsia="仿宋" w:cs="仿宋"/>
        </w:rPr>
        <w:t xml:space="preserve">    5.代表妇女参与国家社会事务的民主管理、民主监督，积极向党委推荐优秀妇女干部，促进妇女参政；参与我市有关妇女儿童政策、规定的制定，维护妇女儿童的合法权益。</w:t>
      </w:r>
    </w:p>
    <w:p>
      <w:pPr>
        <w:spacing w:line="560" w:lineRule="exact"/>
        <w:rPr>
          <w:rFonts w:eastAsia="仿宋" w:cs="仿宋"/>
        </w:rPr>
      </w:pPr>
      <w:r>
        <w:rPr>
          <w:rFonts w:hint="eastAsia" w:eastAsia="仿宋" w:cs="仿宋"/>
        </w:rPr>
        <w:t xml:space="preserve">    6.为妇女儿童和家庭服务，加强与社会各界的联系，协调和推动社会各界为妇女儿童和家庭办实事、办好事。</w:t>
      </w:r>
    </w:p>
    <w:p>
      <w:pPr>
        <w:spacing w:line="560" w:lineRule="exact"/>
        <w:rPr>
          <w:rFonts w:eastAsia="仿宋" w:cs="仿宋"/>
        </w:rPr>
      </w:pPr>
      <w:r>
        <w:rPr>
          <w:rFonts w:hint="eastAsia" w:eastAsia="仿宋" w:cs="仿宋"/>
        </w:rPr>
        <w:t xml:space="preserve">    7.加强与各族各界妇女的联系，巩固妇女的大团结。</w:t>
      </w:r>
    </w:p>
    <w:p>
      <w:pPr>
        <w:spacing w:line="560" w:lineRule="exact"/>
        <w:ind w:firstLine="640"/>
        <w:rPr>
          <w:rFonts w:eastAsia="仿宋" w:cs="仿宋"/>
        </w:rPr>
      </w:pPr>
      <w:r>
        <w:rPr>
          <w:rFonts w:hint="eastAsia" w:eastAsia="仿宋" w:cs="仿宋"/>
        </w:rPr>
        <w:t>8.承担市政府妇女儿童工作委员会日常工作。</w:t>
      </w:r>
    </w:p>
    <w:p>
      <w:pPr>
        <w:spacing w:line="560" w:lineRule="exact"/>
        <w:ind w:firstLine="640"/>
      </w:pPr>
      <w:r>
        <w:rPr>
          <w:rFonts w:hint="eastAsia" w:eastAsia="仿宋" w:cs="仿宋"/>
        </w:rPr>
        <w:t>9.承办市委、市政府交办的其他事项。</w:t>
      </w:r>
    </w:p>
    <w:p>
      <w:pPr>
        <w:spacing w:line="560" w:lineRule="exact"/>
        <w:ind w:firstLine="640"/>
        <w:rPr>
          <w:rFonts w:eastAsia="仿宋"/>
          <w:bCs/>
          <w:color w:val="000000"/>
          <w:szCs w:val="32"/>
        </w:rPr>
      </w:pPr>
      <w:r>
        <w:rPr>
          <w:rFonts w:hint="eastAsia" w:eastAsia="仿宋"/>
          <w:b/>
          <w:color w:val="000000"/>
          <w:szCs w:val="32"/>
        </w:rPr>
        <w:t>（二</w:t>
      </w:r>
      <w:r>
        <w:rPr>
          <w:rFonts w:hint="eastAsia" w:eastAsia="仿宋"/>
          <w:bCs/>
          <w:color w:val="000000"/>
          <w:szCs w:val="32"/>
        </w:rPr>
        <w:t>）</w:t>
      </w:r>
      <w:r>
        <w:rPr>
          <w:rFonts w:eastAsia="仿宋"/>
          <w:bCs/>
          <w:color w:val="000000"/>
          <w:szCs w:val="32"/>
        </w:rPr>
        <w:t>202</w:t>
      </w:r>
      <w:r>
        <w:rPr>
          <w:rFonts w:hint="eastAsia" w:eastAsia="仿宋"/>
          <w:bCs/>
          <w:color w:val="000000"/>
          <w:szCs w:val="32"/>
        </w:rPr>
        <w:t>1年重点工作完成情况。</w:t>
      </w:r>
      <w:bookmarkEnd w:id="6"/>
      <w:bookmarkEnd w:id="7"/>
    </w:p>
    <w:p>
      <w:pPr>
        <w:spacing w:line="560" w:lineRule="exact"/>
        <w:ind w:firstLine="640"/>
        <w:rPr>
          <w:rFonts w:eastAsia="仿宋" w:cs="仿宋"/>
          <w:color w:val="000000"/>
        </w:rPr>
      </w:pPr>
      <w:r>
        <w:rPr>
          <w:rFonts w:hint="eastAsia" w:eastAsia="仿宋" w:cs="仿宋"/>
          <w:szCs w:val="32"/>
        </w:rPr>
        <w:t>2021年，市妇联</w:t>
      </w:r>
      <w:r>
        <w:rPr>
          <w:rFonts w:hint="eastAsia" w:eastAsia="仿宋" w:cs="仿宋"/>
          <w:kern w:val="0"/>
          <w:szCs w:val="32"/>
        </w:rPr>
        <w:t>高举习近平新时代中国特色社会主义思想伟大旗帜，认真贯彻落实中央和省委及市委重大决策部署，积极落实全国妇联、省妇联工作要求，围绕开局“十四五”、开启新征程，围绕立足新发展阶段、贯彻新发展理念、融入新发展格局，紧扣市委“1743”战略部署，继续坚持市妇联“1136”工作思路，突出庆祝中国共产党成立100周年，深化党史学习教育，服务自贡高质量发展，履职担当，积极作为，引领广大妇女聚力再造产业自贡、走出转型升级新路、加快建设新时代深化改革扩大开放示范城市贡献巾帼力量。</w:t>
      </w:r>
      <w:r>
        <w:rPr>
          <w:rFonts w:hint="eastAsia" w:eastAsia="仿宋" w:cs="仿宋"/>
          <w:b/>
          <w:bCs/>
          <w:szCs w:val="32"/>
        </w:rPr>
        <w:t>一是继续实施能力素质再提升行动。</w:t>
      </w:r>
      <w:r>
        <w:rPr>
          <w:rFonts w:hint="eastAsia" w:eastAsia="仿宋" w:cs="仿宋"/>
          <w:bCs/>
          <w:szCs w:val="32"/>
        </w:rPr>
        <w:t>创新“四史”教育活动载体，</w:t>
      </w:r>
      <w:r>
        <w:rPr>
          <w:rFonts w:hint="eastAsia" w:eastAsia="仿宋" w:cs="仿宋"/>
          <w:szCs w:val="32"/>
        </w:rPr>
        <w:t>以妇女群众喜闻乐见的方式，开展“永远跟党走——巾帼心向党 奋斗新征程”自贡市党史学习群众性宣传教育活动暨第二届“紫薇花开”广场舞大赛，唱响时代主旋律。</w:t>
      </w:r>
      <w:r>
        <w:rPr>
          <w:rFonts w:hint="eastAsia" w:eastAsia="仿宋" w:cs="仿宋"/>
          <w:color w:val="000000"/>
        </w:rPr>
        <w:t>大赛自4月启动以来，全市136</w:t>
      </w:r>
      <w:r>
        <w:rPr>
          <w:rFonts w:hint="eastAsia" w:eastAsia="仿宋" w:cs="仿宋"/>
          <w:szCs w:val="32"/>
        </w:rPr>
        <w:t>支广场舞队伍参加，上万名妇女姐妹齐跳《共圆中国梦》《在希望的田野上》。</w:t>
      </w:r>
      <w:r>
        <w:rPr>
          <w:rFonts w:hint="eastAsia" w:eastAsia="仿宋" w:cs="仿宋"/>
          <w:bCs/>
          <w:szCs w:val="32"/>
        </w:rPr>
        <w:t>牵头编排情景剧《未来有我，江姐精神永流传》，由自贡市江姐中学学生参演，在“百年妇运 璀璨四川——四川省妇联庆祝中国共产党</w:t>
      </w:r>
      <w:r>
        <w:rPr>
          <w:rFonts w:hint="eastAsia" w:eastAsia="仿宋" w:cs="仿宋"/>
          <w:color w:val="000000"/>
        </w:rPr>
        <w:t>成立100周年大会”上表演获得圆满成功，得到省市领导充分肯</w:t>
      </w:r>
      <w:r>
        <w:rPr>
          <w:rFonts w:hint="eastAsia" w:eastAsia="仿宋" w:cs="仿宋"/>
          <w:bCs/>
          <w:szCs w:val="32"/>
        </w:rPr>
        <w:t>定，入选全省庆祝建党百年群众性教育活动</w:t>
      </w:r>
      <w:r>
        <w:rPr>
          <w:rFonts w:hint="eastAsia" w:eastAsia="仿宋" w:cs="仿宋"/>
        </w:rPr>
        <w:t>。</w:t>
      </w:r>
      <w:r>
        <w:rPr>
          <w:rFonts w:hint="eastAsia" w:eastAsia="仿宋" w:cs="仿宋"/>
          <w:bCs/>
          <w:szCs w:val="32"/>
        </w:rPr>
        <w:t>首次采用网络在线直播方式举办市级2021年执委履职能力培训班、婚调干部培训班、区县“基层妇联干部、执委培训班”等共计25期，持续赋能各级妇女干部4000余人。加强外宣工作，全年中国妇女报宣传报道2次，四川封面新闻宣传报道14次，四川幸福女性</w:t>
      </w:r>
      <w:r>
        <w:rPr>
          <w:rFonts w:hint="eastAsia" w:eastAsia="仿宋" w:cs="仿宋"/>
          <w:color w:val="000000"/>
        </w:rPr>
        <w:t>宣传报道</w:t>
      </w:r>
      <w:r>
        <w:rPr>
          <w:rFonts w:hint="eastAsia" w:eastAsia="仿宋" w:cs="仿宋"/>
          <w:bCs/>
          <w:szCs w:val="32"/>
        </w:rPr>
        <w:t>1</w:t>
      </w:r>
      <w:r>
        <w:rPr>
          <w:rFonts w:hint="eastAsia" w:eastAsia="仿宋" w:cs="仿宋"/>
          <w:color w:val="000000"/>
        </w:rPr>
        <w:t>1次，自贡日报宣传报道31次，自贡网宣传报道28次，看度自贡宣传报道14次。</w:t>
      </w:r>
      <w:r>
        <w:rPr>
          <w:rFonts w:hint="eastAsia" w:eastAsia="仿宋" w:cs="仿宋"/>
          <w:b/>
          <w:bCs/>
          <w:szCs w:val="32"/>
        </w:rPr>
        <w:t>二是继续实施强基固本再提升行动。</w:t>
      </w:r>
      <w:r>
        <w:rPr>
          <w:rFonts w:hint="eastAsia" w:eastAsia="仿宋" w:cs="仿宋"/>
        </w:rPr>
        <w:t>紧紧抓住基层换届契机，高质量完成90个乡镇（街道</w:t>
      </w:r>
      <w:r>
        <w:rPr>
          <w:rFonts w:hint="eastAsia" w:eastAsia="仿宋" w:cs="仿宋"/>
          <w:lang w:val="en"/>
        </w:rPr>
        <w:t>)、</w:t>
      </w:r>
      <w:r>
        <w:rPr>
          <w:rFonts w:hint="eastAsia" w:eastAsia="仿宋" w:cs="仿宋"/>
        </w:rPr>
        <w:t>983个村（社区）妇联换届工作，配齐配强基层妇联工作“领头雁”3327名，全面实现村(居)委班子中100%有女性、村（社区）妇联主席100%进村(居)“两委”，乡镇（街道）妇联主席100%享受乡镇党政领导副职的政治、生活待遇，1.3万余基层妇联执委实现基层工作“一张网”格局。实施“改革破难行动”</w:t>
      </w:r>
      <w:r>
        <w:rPr>
          <w:rFonts w:hint="eastAsia" w:eastAsia="仿宋" w:cs="仿宋"/>
          <w:bCs/>
          <w:szCs w:val="32"/>
        </w:rPr>
        <w:t>，联动社会各界打造新领域新业态新阶层新群体“妇女微家”12个，自贡建行“劳动者港湾·妇女微家”25个，自贡移动“数字互联·妇女微家”6个，广场舞姐妹“妇女微家”62个，建立自贡市首个驻外商会“妇女之家”——北京自贡企业商会“妇女之家”，各区县特色“妇女微家”121个，</w:t>
      </w:r>
      <w:r>
        <w:rPr>
          <w:rFonts w:hint="eastAsia" w:eastAsia="仿宋" w:cs="仿宋"/>
          <w:color w:val="000000"/>
          <w:szCs w:val="32"/>
        </w:rPr>
        <w:t>用改革创新的生动实践履行“妇联在您身边”的郑重承诺</w:t>
      </w:r>
      <w:r>
        <w:rPr>
          <w:rFonts w:hint="eastAsia" w:eastAsia="仿宋" w:cs="仿宋"/>
          <w:bCs/>
          <w:szCs w:val="32"/>
        </w:rPr>
        <w:t>。充分发挥“联”字优势</w:t>
      </w:r>
      <w:r>
        <w:rPr>
          <w:rFonts w:hint="eastAsia" w:eastAsia="仿宋" w:cs="仿宋"/>
          <w:szCs w:val="32"/>
        </w:rPr>
        <w:t>，与自贡建行、自贡移动、自贡人寿等签订战略合作协议，</w:t>
      </w:r>
      <w:r>
        <w:rPr>
          <w:rFonts w:hint="eastAsia" w:eastAsia="仿宋" w:cs="仿宋"/>
          <w:color w:val="000000"/>
          <w:szCs w:val="32"/>
          <w:shd w:val="clear" w:color="auto" w:fill="FFFFFF"/>
        </w:rPr>
        <w:t>为妇女儿童事业发展争取金融支持、网络服务和</w:t>
      </w:r>
      <w:r>
        <w:rPr>
          <w:rFonts w:hint="eastAsia" w:eastAsia="仿宋" w:cs="仿宋"/>
          <w:szCs w:val="32"/>
        </w:rPr>
        <w:t>乡村振兴人才培训。</w:t>
      </w:r>
      <w:r>
        <w:rPr>
          <w:rFonts w:hint="eastAsia" w:eastAsia="仿宋" w:cs="仿宋"/>
          <w:b/>
          <w:bCs/>
          <w:szCs w:val="32"/>
        </w:rPr>
        <w:t>三是继续实施幸福家庭再提升行动。</w:t>
      </w:r>
      <w:r>
        <w:rPr>
          <w:rFonts w:hint="eastAsia" w:eastAsia="仿宋" w:cs="仿宋"/>
          <w:szCs w:val="32"/>
        </w:rPr>
        <w:t>深入贯彻落实习总书记关于家庭家教家风重要论述，广泛开展2021年“盐都好家风·阅读悦美”红色阅读活动，联动市广播电台开设《盐都好家风》专栏32期，首次向全市家庭发布党史学习教育暨家风家教8条推荐路线。牵头落实自贡市“好风传家·盐都好家风”宣传月活动，召开自贡市推进家庭家教家风建设工作会议，联合13个部门开展“寻找最美家庭 传承家训家风”活动</w:t>
      </w:r>
      <w:r>
        <w:rPr>
          <w:rFonts w:hint="eastAsia" w:eastAsia="仿宋" w:cs="仿宋"/>
          <w:szCs w:val="32"/>
          <w:lang w:val="en"/>
        </w:rPr>
        <w:t>，选树</w:t>
      </w:r>
      <w:r>
        <w:rPr>
          <w:rFonts w:hint="eastAsia" w:eastAsia="仿宋" w:cs="仿宋"/>
          <w:szCs w:val="32"/>
        </w:rPr>
        <w:t>全国、省、市级最美家庭37户；</w:t>
      </w:r>
      <w:r>
        <w:rPr>
          <w:rFonts w:hint="eastAsia" w:eastAsia="仿宋" w:cs="仿宋"/>
          <w:bCs/>
          <w:kern w:val="0"/>
          <w:szCs w:val="32"/>
          <w:lang w:bidi="ar"/>
        </w:rPr>
        <w:t>首次打造全市安全生产“进家庭”示范点15个，圆满完成省安全“五进”莅市检查工作。</w:t>
      </w:r>
      <w:r>
        <w:rPr>
          <w:rStyle w:val="22"/>
          <w:rFonts w:hint="eastAsia" w:eastAsia="仿宋" w:cs="仿宋"/>
          <w:color w:val="000000"/>
          <w:kern w:val="0"/>
          <w:szCs w:val="32"/>
          <w:lang w:bidi="hi-IN"/>
        </w:rPr>
        <w:t>以</w:t>
      </w:r>
      <w:r>
        <w:rPr>
          <w:rFonts w:hint="eastAsia" w:eastAsia="仿宋" w:cs="仿宋"/>
          <w:szCs w:val="32"/>
        </w:rPr>
        <w:t>“盐都未来工程”为统领，</w:t>
      </w:r>
      <w:r>
        <w:rPr>
          <w:rFonts w:hint="eastAsia" w:eastAsia="仿宋" w:cs="仿宋"/>
          <w:kern w:val="0"/>
          <w:szCs w:val="32"/>
        </w:rPr>
        <w:t>联合市教体局、市民政局签订《自贡市“家校社”协同育人战略合作框架协议》，联合组建新一轮自贡市家庭教育研究会暨家庭教育骨干师资队伍，</w:t>
      </w:r>
      <w:r>
        <w:rPr>
          <w:rFonts w:hint="eastAsia" w:eastAsia="仿宋" w:cs="仿宋"/>
          <w:szCs w:val="32"/>
        </w:rPr>
        <w:t>开展“大手拉小手</w:t>
      </w:r>
      <w:r>
        <w:rPr>
          <w:rFonts w:hint="eastAsia" w:eastAsia="仿宋" w:cs="仿宋"/>
          <w:szCs w:val="32"/>
          <w:shd w:val="clear" w:color="auto" w:fill="FFFFFF"/>
        </w:rPr>
        <w:t>”</w:t>
      </w:r>
      <w:r>
        <w:rPr>
          <w:rFonts w:hint="eastAsia" w:eastAsia="仿宋" w:cs="仿宋"/>
          <w:szCs w:val="32"/>
        </w:rPr>
        <w:t>家庭线上系列活动优秀作品展播、</w:t>
      </w:r>
      <w:r>
        <w:rPr>
          <w:rFonts w:hint="eastAsia" w:eastAsia="仿宋" w:cs="仿宋"/>
          <w:szCs w:val="32"/>
          <w:shd w:val="clear" w:color="auto" w:fill="FFFFFF"/>
        </w:rPr>
        <w:t>贫困儿童“六一”慰问、生命健康讲座</w:t>
      </w:r>
      <w:r>
        <w:rPr>
          <w:rFonts w:hint="eastAsia" w:eastAsia="仿宋" w:cs="仿宋"/>
          <w:szCs w:val="32"/>
        </w:rPr>
        <w:t>等活动，连续24年开展春蕾助学计划，争取中国人民大学安徽校友会捐赠春蕾助学金10万元，为214名学生发放17.39万元助学金</w:t>
      </w:r>
      <w:r>
        <w:rPr>
          <w:rFonts w:hint="eastAsia" w:eastAsia="仿宋" w:cs="仿宋"/>
          <w:color w:val="000000"/>
          <w:szCs w:val="32"/>
        </w:rPr>
        <w:t>；</w:t>
      </w:r>
      <w:r>
        <w:rPr>
          <w:rFonts w:hint="eastAsia" w:eastAsia="仿宋" w:cs="仿宋"/>
          <w:szCs w:val="32"/>
        </w:rPr>
        <w:t>开展儿童之家培训，联合市民政局整合20万元资金，全市打造45个省级示范儿童之家。</w:t>
      </w:r>
      <w:r>
        <w:rPr>
          <w:rFonts w:hint="eastAsia" w:eastAsia="仿宋" w:cs="仿宋"/>
          <w:b/>
          <w:bCs/>
          <w:szCs w:val="32"/>
        </w:rPr>
        <w:t>四是继续实施乡村振兴再提升行动。</w:t>
      </w:r>
      <w:r>
        <w:rPr>
          <w:rFonts w:hint="eastAsia" w:eastAsia="仿宋" w:cs="仿宋"/>
          <w:szCs w:val="32"/>
        </w:rPr>
        <w:t>服务中心大局，制定“乡村振兴巾帼行动”实施意见和5年工作目标任务，深入开展寻找1名全国“巾帼新农人”、3名“川渝女能人”活动；首次开展60名自贡市乡村女能人评选活动，一大批彩灯、龚扇、扎染、盐帮菜等具有盐都特色的女带头人得到发现和宣传。积极申报全国妇联的中央专项彩票公益金285万元、省妇联“两癌”救助资金27万，共计312万元，关爱“两癌”低收入妇女312人，实现救助对象全覆盖；</w:t>
      </w:r>
      <w:r>
        <w:rPr>
          <w:rFonts w:hint="eastAsia" w:eastAsia="仿宋" w:cs="仿宋"/>
          <w:kern w:val="0"/>
          <w:szCs w:val="32"/>
        </w:rPr>
        <w:t>落实自贡市400名农村困难妇女参与省妇联“两癌”免费保险，深化与自贡人寿的战略合作，每年为城乡低收入妇女提供“两癌”保险1000份、“贡惠保”500份和10万元助力乡村振兴资金。</w:t>
      </w:r>
      <w:r>
        <w:rPr>
          <w:rFonts w:hint="eastAsia" w:eastAsia="仿宋" w:cs="仿宋"/>
          <w:szCs w:val="32"/>
        </w:rPr>
        <w:t>联合市一医院举办“巾帼学堂•紫薇绽放”家庭健康生活大讲堂7期；首次同市保健院联合开展“学党史守初心·我为群众办实事”——关注肿瘤防治 关爱女性健康系列公益活动，访谈直播活动在线观看群众达5万人次。做好巩固拓展脱贫攻坚成果同乡村振兴的有效衔接，关注处于临界点的边缘贫困户妇女、脱贫不稳定妇女、易致贫返贫妇女、留守妇女、易辍学儿童等，配合做好动态监测与定点帮扶。</w:t>
      </w:r>
      <w:r>
        <w:rPr>
          <w:rFonts w:hint="eastAsia" w:eastAsia="仿宋" w:cs="仿宋"/>
          <w:b/>
          <w:bCs/>
          <w:szCs w:val="32"/>
        </w:rPr>
        <w:t>五是继续实施维权关爱再提升行动。</w:t>
      </w:r>
      <w:r>
        <w:rPr>
          <w:rFonts w:hint="eastAsia" w:eastAsia="仿宋" w:cs="仿宋"/>
          <w:szCs w:val="32"/>
        </w:rPr>
        <w:t>以《民法典》实施为契机，围绕婚恋全时段主线，开展第二届“国有法</w:t>
      </w:r>
      <w:r>
        <w:rPr>
          <w:rFonts w:hint="eastAsia" w:eastAsia="仿宋" w:cs="仿宋"/>
          <w:szCs w:val="32"/>
          <w:lang w:eastAsia="zh"/>
        </w:rPr>
        <w:t xml:space="preserve"> </w:t>
      </w:r>
      <w:r>
        <w:rPr>
          <w:rFonts w:hint="eastAsia" w:eastAsia="仿宋" w:cs="仿宋"/>
          <w:szCs w:val="32"/>
        </w:rPr>
        <w:t>家有爱”三八妇女维权周活动，邀请专家走进直播间，用鲜活的案例分析、专业的法律服务为构建和谐家庭关系联动护航，收听人数10万余人次；开展“自贡市第二届维护妇女儿童合法权益典型案例”征集评选活动，评选优秀案例10个；</w:t>
      </w:r>
      <w:r>
        <w:rPr>
          <w:rStyle w:val="22"/>
          <w:rFonts w:hint="eastAsia" w:eastAsia="仿宋" w:cs="仿宋"/>
          <w:szCs w:val="32"/>
        </w:rPr>
        <w:t>推送原创普法栏目“廖法官说法”12期；启动</w:t>
      </w:r>
      <w:r>
        <w:rPr>
          <w:rFonts w:hint="eastAsia" w:eastAsia="仿宋" w:cs="仿宋"/>
          <w:szCs w:val="32"/>
        </w:rPr>
        <w:t>第七届“巾帼维权大讲堂”，50余名女律师分赴城市社区、乡镇农村开展法制宣讲150场。</w:t>
      </w:r>
      <w:r>
        <w:rPr>
          <w:rFonts w:hint="eastAsia" w:eastAsia="仿宋" w:cs="仿宋"/>
          <w:color w:val="000000"/>
        </w:rPr>
        <w:t>全年接待信访41例，处理率100%。</w:t>
      </w:r>
      <w:r>
        <w:rPr>
          <w:rFonts w:hint="eastAsia" w:eastAsia="仿宋" w:cs="仿宋"/>
          <w:szCs w:val="32"/>
        </w:rPr>
        <w:t>持续开展“紫薇花家庭微公益·共筑心家园”等品牌项目，联合9家单位开展“把爱带回家——冬日暖阳送温暖”2021寒假（春节）妇女儿童关爱服务“四送”活动，</w:t>
      </w:r>
      <w:r>
        <w:rPr>
          <w:rFonts w:hint="eastAsia" w:eastAsia="仿宋" w:cs="仿宋"/>
          <w:color w:val="000000"/>
        </w:rPr>
        <w:t>筹集关爱资金160余万元，慰问女农民工、“春蕾女童”“两癌”患者、贫困儿童等1200余人</w:t>
      </w:r>
      <w:r>
        <w:rPr>
          <w:rFonts w:hint="eastAsia" w:eastAsia="仿宋" w:cs="仿宋"/>
          <w:szCs w:val="32"/>
        </w:rPr>
        <w:t>。联合建行自贡分行开展“三八节”慰问环卫女工活动，并邀请140名环卫一线困难女职工走进“劳动者港湾·妇女微家”，为她们送去节日的祝福。</w:t>
      </w:r>
      <w:r>
        <w:rPr>
          <w:rFonts w:hint="eastAsia" w:eastAsia="仿宋" w:cs="仿宋"/>
          <w:color w:val="000000"/>
          <w:szCs w:val="32"/>
        </w:rPr>
        <w:t>邀请省妇联专家走进我市3所学校，为300余名学生送去未成年人保护法律知识；争取省妇联等相关部门为3所乡镇学校捐赠价值15万元的图书电脑。</w:t>
      </w:r>
      <w:r>
        <w:rPr>
          <w:rFonts w:hint="eastAsia" w:eastAsia="仿宋" w:cs="仿宋"/>
          <w:b/>
          <w:bCs/>
          <w:color w:val="000000"/>
        </w:rPr>
        <w:t>六是继续实施巾帼建功再提升行动。</w:t>
      </w:r>
      <w:r>
        <w:rPr>
          <w:rFonts w:hint="eastAsia" w:eastAsia="仿宋" w:cs="仿宋"/>
          <w:color w:val="000000"/>
        </w:rPr>
        <w:t>举办巾帼文明岗培训班，召开2021年自贡市巾帼文明岗创岗验收会，命名市级巾帼文明岗创岗单位50个，擦亮创岗金字招牌。积极推进3个省级妇女居家灵活就业项目建设，落实330万元项目资金。圆满完成省妇联对“省级妇女居家灵活就业基地”项目和自贡市2020年“两癌”项目绩效评价现场走访。联合举办“就业帮扶、真情相助”和“春风行动”暨“川南经济区”等专场招聘会，联合开展自贡市2021年高校毕业生专场招聘会，线上+线下提供就业岗位6255个。推进自贡市华龙科技有限公司参加川南渝西融合发展巾帼科创项目线上+线下对接会，助力川南渝西融合发展试验区建设。深化与建行自贡分行战略合作，累计为企业提供普惠金融信贷18笔，授信金额1668万元。</w:t>
      </w:r>
      <w:bookmarkStart w:id="8" w:name="_Toc562851616"/>
      <w:bookmarkStart w:id="9" w:name="_Toc15396601"/>
      <w:bookmarkStart w:id="10" w:name="_Toc15377200"/>
    </w:p>
    <w:p>
      <w:pPr>
        <w:pStyle w:val="6"/>
        <w:spacing w:before="0" w:after="0" w:line="560" w:lineRule="exact"/>
        <w:ind w:firstLine="640" w:firstLineChars="200"/>
        <w:rPr>
          <w:rStyle w:val="17"/>
          <w:rFonts w:ascii="Times New Roman" w:hAnsi="Times New Roman"/>
          <w:b w:val="0"/>
          <w:bCs w:val="0"/>
        </w:rPr>
      </w:pPr>
      <w:r>
        <w:rPr>
          <w:rFonts w:hint="eastAsia" w:ascii="Times New Roman" w:hAnsi="Times New Roman" w:eastAsia="黑体"/>
          <w:b w:val="0"/>
          <w:color w:val="000000"/>
        </w:rPr>
        <w:t>二、机</w:t>
      </w:r>
      <w:r>
        <w:rPr>
          <w:rStyle w:val="17"/>
          <w:rFonts w:hint="eastAsia" w:ascii="Times New Roman" w:hAnsi="Times New Roman" w:eastAsia="黑体"/>
          <w:b w:val="0"/>
          <w:bCs w:val="0"/>
        </w:rPr>
        <w:t>构设置</w:t>
      </w:r>
      <w:bookmarkEnd w:id="8"/>
      <w:bookmarkEnd w:id="9"/>
      <w:bookmarkEnd w:id="10"/>
    </w:p>
    <w:p>
      <w:pPr>
        <w:ind w:firstLine="800" w:firstLineChars="250"/>
        <w:rPr>
          <w:rFonts w:ascii="仿宋" w:hAnsi="仿宋" w:eastAsia="仿宋"/>
          <w:sz w:val="32"/>
          <w:szCs w:val="32"/>
        </w:rPr>
      </w:pPr>
      <w:r>
        <w:rPr>
          <w:rFonts w:hint="eastAsia" w:ascii="仿宋" w:hAnsi="仿宋" w:eastAsia="仿宋"/>
          <w:sz w:val="32"/>
          <w:szCs w:val="32"/>
          <w:lang w:eastAsia="zh-CN"/>
        </w:rPr>
        <w:t>自贡市妇女联合会</w:t>
      </w:r>
      <w:r>
        <w:rPr>
          <w:rFonts w:hint="eastAsia" w:ascii="仿宋" w:hAnsi="仿宋" w:eastAsia="仿宋"/>
          <w:sz w:val="32"/>
          <w:szCs w:val="32"/>
        </w:rPr>
        <w:t>下属二级单位</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eastAsia="zh-CN"/>
        </w:rPr>
        <w:t>（含主管局本级）</w:t>
      </w:r>
      <w:r>
        <w:rPr>
          <w:rFonts w:hint="eastAsia" w:ascii="仿宋" w:hAnsi="仿宋" w:eastAsia="仿宋"/>
          <w:sz w:val="32"/>
          <w:szCs w:val="32"/>
        </w:rPr>
        <w:t>，其中行政单位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7"/>
        <w:adjustRightInd w:val="0"/>
        <w:snapToGrid w:val="0"/>
        <w:spacing w:before="93" w:line="600" w:lineRule="exact"/>
        <w:ind w:firstLine="672" w:firstLineChars="210"/>
        <w:rPr>
          <w:rFonts w:hint="default" w:ascii="仿宋" w:hAnsi="仿宋" w:eastAsia="仿宋"/>
          <w:color w:val="000000"/>
          <w:sz w:val="32"/>
          <w:szCs w:val="32"/>
          <w:lang w:val="en-US" w:eastAsia="zh-CN"/>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自贡市妇女联合会</w:t>
      </w: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年度部门决算编制范围的二级预算单位包括：</w:t>
      </w:r>
      <w:r>
        <w:rPr>
          <w:rFonts w:hint="eastAsia" w:ascii="仿宋" w:hAnsi="仿宋" w:eastAsia="仿宋"/>
          <w:color w:val="000000"/>
          <w:sz w:val="32"/>
          <w:szCs w:val="32"/>
          <w:lang w:val="en-US" w:eastAsia="zh-CN"/>
        </w:rPr>
        <w:t>1.自贡市妇女联合会。</w:t>
      </w:r>
    </w:p>
    <w:p>
      <w:pPr>
        <w:widowControl/>
        <w:spacing w:line="560" w:lineRule="exact"/>
        <w:jc w:val="left"/>
        <w:rPr>
          <w:rFonts w:eastAsia="仿宋"/>
          <w:color w:val="000000"/>
          <w:kern w:val="0"/>
          <w:szCs w:val="32"/>
        </w:rPr>
      </w:pPr>
      <w:r>
        <w:rPr>
          <w:rFonts w:eastAsia="仿宋"/>
          <w:color w:val="000000"/>
          <w:szCs w:val="32"/>
        </w:rPr>
        <w:br w:type="page"/>
      </w:r>
    </w:p>
    <w:p>
      <w:pPr>
        <w:pStyle w:val="5"/>
        <w:spacing w:before="0" w:after="0" w:line="560" w:lineRule="exact"/>
        <w:jc w:val="center"/>
        <w:rPr>
          <w:rStyle w:val="16"/>
          <w:rFonts w:eastAsia="黑体"/>
          <w:b w:val="0"/>
          <w:bCs w:val="0"/>
        </w:rPr>
      </w:pPr>
      <w:bookmarkStart w:id="11" w:name="_Toc15396602"/>
      <w:bookmarkStart w:id="12" w:name="_Toc15377204"/>
      <w:bookmarkStart w:id="13" w:name="_Toc1488896014"/>
      <w:r>
        <w:rPr>
          <w:rFonts w:hint="eastAsia" w:eastAsia="黑体"/>
          <w:b w:val="0"/>
          <w:color w:val="000000"/>
        </w:rPr>
        <w:t>第二部分</w:t>
      </w:r>
      <w:r>
        <w:rPr>
          <w:rFonts w:eastAsia="黑体"/>
          <w:color w:val="000000"/>
        </w:rPr>
        <w:t xml:space="preserve"> </w:t>
      </w:r>
      <w:r>
        <w:rPr>
          <w:rStyle w:val="16"/>
          <w:rFonts w:eastAsia="黑体"/>
          <w:b w:val="0"/>
          <w:bCs w:val="0"/>
        </w:rPr>
        <w:t>202</w:t>
      </w:r>
      <w:r>
        <w:rPr>
          <w:rStyle w:val="16"/>
          <w:rFonts w:hint="eastAsia" w:eastAsia="黑体"/>
          <w:b w:val="0"/>
          <w:bCs w:val="0"/>
        </w:rPr>
        <w:t>1年度部门决算情况说明</w:t>
      </w:r>
      <w:bookmarkEnd w:id="11"/>
      <w:bookmarkEnd w:id="12"/>
      <w:bookmarkEnd w:id="13"/>
    </w:p>
    <w:p>
      <w:pPr>
        <w:spacing w:line="560" w:lineRule="exact"/>
      </w:pPr>
    </w:p>
    <w:p>
      <w:pPr>
        <w:pStyle w:val="18"/>
        <w:spacing w:line="560" w:lineRule="exact"/>
        <w:ind w:left="-240" w:firstLine="640"/>
        <w:outlineLvl w:val="1"/>
        <w:rPr>
          <w:rStyle w:val="17"/>
          <w:rFonts w:ascii="Times New Roman" w:hAnsi="Times New Roman" w:eastAsia="黑体"/>
          <w:b w:val="0"/>
        </w:rPr>
      </w:pPr>
      <w:bookmarkStart w:id="14" w:name="_Toc423742528"/>
      <w:bookmarkStart w:id="15" w:name="_Toc15377205"/>
      <w:bookmarkStart w:id="16" w:name="_Toc15396603"/>
      <w:r>
        <w:rPr>
          <w:rFonts w:hint="eastAsia" w:eastAsia="黑体"/>
          <w:color w:val="000000"/>
          <w:szCs w:val="32"/>
        </w:rPr>
        <w:t>一、收</w:t>
      </w:r>
      <w:r>
        <w:rPr>
          <w:rStyle w:val="17"/>
          <w:rFonts w:hint="eastAsia" w:ascii="Times New Roman" w:hAnsi="Times New Roman" w:eastAsia="黑体"/>
          <w:b w:val="0"/>
        </w:rPr>
        <w:t>入支出决算总体情况说明</w:t>
      </w:r>
      <w:bookmarkEnd w:id="14"/>
      <w:bookmarkEnd w:id="15"/>
      <w:bookmarkEnd w:id="16"/>
    </w:p>
    <w:p>
      <w:pPr>
        <w:pStyle w:val="18"/>
        <w:spacing w:line="560" w:lineRule="exact"/>
        <w:ind w:left="-240" w:firstLine="640"/>
        <w:outlineLvl w:val="1"/>
        <w:rPr>
          <w:szCs w:val="32"/>
        </w:rPr>
      </w:pPr>
      <w:r>
        <w:rPr>
          <w:rFonts w:hint="eastAsia" w:eastAsiaTheme="minorEastAsia"/>
        </w:rPr>
        <w:drawing>
          <wp:anchor distT="0" distB="0" distL="114300" distR="114300" simplePos="0" relativeHeight="251664384" behindDoc="0" locked="0" layoutInCell="1" allowOverlap="1">
            <wp:simplePos x="0" y="0"/>
            <wp:positionH relativeFrom="column">
              <wp:posOffset>1040765</wp:posOffset>
            </wp:positionH>
            <wp:positionV relativeFrom="page">
              <wp:posOffset>3995420</wp:posOffset>
            </wp:positionV>
            <wp:extent cx="3336925" cy="2256790"/>
            <wp:effectExtent l="4445" t="4445" r="11430" b="571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eastAsia="仿宋"/>
          <w:color w:val="000000"/>
          <w:szCs w:val="32"/>
        </w:rPr>
        <w:t>202</w:t>
      </w:r>
      <w:r>
        <w:rPr>
          <w:rFonts w:hint="eastAsia" w:eastAsia="仿宋"/>
          <w:color w:val="000000"/>
          <w:szCs w:val="32"/>
        </w:rPr>
        <w:t>1年度收、支总计474.44万元。与</w:t>
      </w:r>
      <w:r>
        <w:rPr>
          <w:rFonts w:eastAsia="仿宋"/>
          <w:color w:val="000000"/>
          <w:szCs w:val="32"/>
        </w:rPr>
        <w:t>20</w:t>
      </w:r>
      <w:r>
        <w:rPr>
          <w:rFonts w:hint="eastAsia" w:eastAsia="仿宋"/>
          <w:color w:val="000000"/>
          <w:szCs w:val="32"/>
        </w:rPr>
        <w:t>20年相比，收、支总计各增加46.36万元，增长10.83</w:t>
      </w:r>
      <w:r>
        <w:rPr>
          <w:rFonts w:eastAsia="仿宋"/>
          <w:color w:val="000000"/>
          <w:szCs w:val="32"/>
        </w:rPr>
        <w:t>%</w:t>
      </w:r>
      <w:r>
        <w:rPr>
          <w:rFonts w:hint="eastAsia" w:eastAsia="仿宋"/>
          <w:color w:val="000000"/>
          <w:szCs w:val="32"/>
        </w:rPr>
        <w:t>。主要变动原因是</w:t>
      </w:r>
      <w:r>
        <w:rPr>
          <w:rFonts w:hint="eastAsia"/>
          <w:szCs w:val="32"/>
        </w:rPr>
        <w:t>2020年目标奖全额在2021年发放，社保缴费基数标准增加等。</w:t>
      </w:r>
    </w:p>
    <w:p>
      <w:pPr>
        <w:pStyle w:val="2"/>
        <w:spacing w:after="0" w:line="560" w:lineRule="exact"/>
        <w:ind w:left="0" w:leftChars="0" w:firstLine="0" w:firstLineChars="0"/>
        <w:jc w:val="center"/>
        <w:rPr>
          <w:rFonts w:eastAsia="仿宋"/>
          <w:color w:val="000000"/>
          <w:szCs w:val="32"/>
        </w:rPr>
      </w:pPr>
    </w:p>
    <w:p>
      <w:pPr>
        <w:spacing w:line="560" w:lineRule="exact"/>
        <w:jc w:val="center"/>
        <w:rPr>
          <w:color w:val="000000"/>
          <w:szCs w:val="32"/>
        </w:rPr>
      </w:pPr>
      <w:r>
        <w:rPr>
          <w:rFonts w:hint="eastAsia" w:eastAsia="仿宋"/>
          <w:color w:val="000000"/>
          <w:szCs w:val="32"/>
        </w:rPr>
        <w:t>（图</w:t>
      </w:r>
      <w:r>
        <w:rPr>
          <w:rFonts w:eastAsia="仿宋"/>
          <w:color w:val="000000"/>
          <w:szCs w:val="32"/>
        </w:rPr>
        <w:t>1</w:t>
      </w:r>
      <w:r>
        <w:rPr>
          <w:rFonts w:hint="eastAsia" w:eastAsia="仿宋"/>
          <w:color w:val="000000"/>
          <w:szCs w:val="32"/>
        </w:rPr>
        <w:t>：收、支决算总计变动情况图）（柱状图）</w:t>
      </w:r>
    </w:p>
    <w:p>
      <w:pPr>
        <w:pStyle w:val="18"/>
        <w:spacing w:line="560" w:lineRule="exact"/>
        <w:ind w:left="-720" w:firstLine="1280" w:firstLineChars="400"/>
        <w:outlineLvl w:val="1"/>
        <w:rPr>
          <w:rStyle w:val="17"/>
          <w:rFonts w:ascii="Times New Roman" w:hAnsi="Times New Roman" w:eastAsia="黑体"/>
          <w:b w:val="0"/>
        </w:rPr>
      </w:pPr>
      <w:bookmarkStart w:id="17" w:name="_Toc15396604"/>
      <w:bookmarkStart w:id="18" w:name="_Toc860298419"/>
      <w:bookmarkStart w:id="19" w:name="_Toc15377206"/>
      <w:r>
        <w:rPr>
          <w:rFonts w:hint="eastAsia" w:eastAsia="黑体"/>
          <w:color w:val="000000"/>
          <w:szCs w:val="32"/>
        </w:rPr>
        <w:t>二、收</w:t>
      </w:r>
      <w:r>
        <w:rPr>
          <w:rStyle w:val="17"/>
          <w:rFonts w:hint="eastAsia" w:ascii="Times New Roman" w:hAnsi="Times New Roman" w:eastAsia="黑体"/>
          <w:b w:val="0"/>
        </w:rPr>
        <w:t>入决算情况说明</w:t>
      </w:r>
      <w:bookmarkEnd w:id="17"/>
      <w:bookmarkEnd w:id="18"/>
      <w:bookmarkEnd w:id="19"/>
    </w:p>
    <w:p>
      <w:pPr>
        <w:spacing w:line="560" w:lineRule="exact"/>
        <w:ind w:firstLine="640" w:firstLineChars="200"/>
        <w:rPr>
          <w:rFonts w:eastAsia="仿宋"/>
          <w:color w:val="000000"/>
          <w:szCs w:val="32"/>
        </w:rPr>
      </w:pPr>
      <w:r>
        <w:rPr>
          <w:rFonts w:eastAsia="仿宋"/>
          <w:color w:val="000000"/>
          <w:szCs w:val="32"/>
        </w:rPr>
        <w:t>202</w:t>
      </w:r>
      <w:r>
        <w:rPr>
          <w:rFonts w:hint="eastAsia" w:eastAsia="仿宋"/>
          <w:color w:val="000000"/>
          <w:szCs w:val="32"/>
        </w:rPr>
        <w:t>1年本年收入合计474.44万元，其中：一般公共预算财政拨款收入473.44万元，占99.79</w:t>
      </w:r>
      <w:r>
        <w:rPr>
          <w:rFonts w:eastAsia="仿宋"/>
          <w:color w:val="000000"/>
          <w:szCs w:val="32"/>
        </w:rPr>
        <w:t>%</w:t>
      </w:r>
      <w:r>
        <w:rPr>
          <w:rFonts w:hint="eastAsia" w:eastAsia="仿宋"/>
          <w:color w:val="000000"/>
          <w:szCs w:val="32"/>
        </w:rPr>
        <w:t>；政府性基金预算财政拨款收入1万元，占0.21</w:t>
      </w:r>
      <w:r>
        <w:rPr>
          <w:rFonts w:eastAsia="仿宋"/>
          <w:color w:val="000000"/>
          <w:szCs w:val="32"/>
        </w:rPr>
        <w:t>%</w:t>
      </w:r>
      <w:r>
        <w:rPr>
          <w:rFonts w:hint="eastAsia" w:eastAsia="仿宋"/>
          <w:color w:val="000000"/>
          <w:szCs w:val="32"/>
        </w:rPr>
        <w:t>；</w:t>
      </w:r>
      <w:r>
        <w:rPr>
          <w:rFonts w:hint="eastAsia" w:eastAsia="仿宋"/>
          <w:szCs w:val="32"/>
        </w:rPr>
        <w:t>国有资本经营预算财政拨款收入0万元，占0</w:t>
      </w:r>
      <w:r>
        <w:rPr>
          <w:rFonts w:eastAsia="仿宋"/>
          <w:szCs w:val="32"/>
        </w:rPr>
        <w:t>%</w:t>
      </w:r>
      <w:r>
        <w:rPr>
          <w:rFonts w:hint="eastAsia" w:eastAsia="仿宋"/>
          <w:szCs w:val="32"/>
        </w:rPr>
        <w:t>；</w:t>
      </w:r>
      <w:r>
        <w:rPr>
          <w:rFonts w:hint="eastAsia" w:eastAsia="仿宋"/>
          <w:color w:val="000000"/>
          <w:szCs w:val="32"/>
        </w:rPr>
        <w:t>上级补助收入0万元，占0</w:t>
      </w:r>
      <w:r>
        <w:rPr>
          <w:rFonts w:eastAsia="仿宋"/>
          <w:color w:val="000000"/>
          <w:szCs w:val="32"/>
        </w:rPr>
        <w:t>%</w:t>
      </w:r>
      <w:r>
        <w:rPr>
          <w:rFonts w:hint="eastAsia" w:eastAsia="仿宋"/>
          <w:color w:val="000000"/>
          <w:szCs w:val="32"/>
        </w:rPr>
        <w:t>；事业收入0万元，占0</w:t>
      </w:r>
      <w:r>
        <w:rPr>
          <w:rFonts w:eastAsia="仿宋"/>
          <w:color w:val="000000"/>
          <w:szCs w:val="32"/>
        </w:rPr>
        <w:t>%</w:t>
      </w:r>
      <w:r>
        <w:rPr>
          <w:rFonts w:hint="eastAsia" w:eastAsia="仿宋"/>
          <w:color w:val="000000"/>
          <w:szCs w:val="32"/>
        </w:rPr>
        <w:t>；经营收入0万元，占0</w:t>
      </w:r>
      <w:r>
        <w:rPr>
          <w:rFonts w:eastAsia="仿宋"/>
          <w:color w:val="000000"/>
          <w:szCs w:val="32"/>
        </w:rPr>
        <w:t>%</w:t>
      </w:r>
      <w:r>
        <w:rPr>
          <w:rFonts w:hint="eastAsia" w:eastAsia="仿宋"/>
          <w:color w:val="000000"/>
          <w:szCs w:val="32"/>
        </w:rPr>
        <w:t>；附属单位上缴收入0万元，占0</w:t>
      </w:r>
      <w:r>
        <w:rPr>
          <w:rFonts w:eastAsia="仿宋"/>
          <w:color w:val="000000"/>
          <w:szCs w:val="32"/>
        </w:rPr>
        <w:t>%</w:t>
      </w:r>
      <w:r>
        <w:rPr>
          <w:rFonts w:hint="eastAsia" w:eastAsia="仿宋"/>
          <w:color w:val="000000"/>
          <w:szCs w:val="32"/>
        </w:rPr>
        <w:t>；其他收入0万元，占0</w:t>
      </w:r>
      <w:r>
        <w:rPr>
          <w:rFonts w:eastAsia="仿宋"/>
          <w:color w:val="000000"/>
          <w:szCs w:val="32"/>
        </w:rPr>
        <w:t>%</w:t>
      </w:r>
      <w:r>
        <w:rPr>
          <w:rFonts w:hint="eastAsia" w:eastAsia="仿宋"/>
          <w:color w:val="000000"/>
          <w:szCs w:val="32"/>
        </w:rPr>
        <w:t>。</w:t>
      </w:r>
    </w:p>
    <w:p>
      <w:pPr>
        <w:spacing w:line="560" w:lineRule="exact"/>
        <w:jc w:val="center"/>
        <w:outlineLvl w:val="1"/>
        <w:rPr>
          <w:rFonts w:eastAsia="仿宋"/>
          <w:color w:val="000000"/>
          <w:szCs w:val="32"/>
        </w:rPr>
      </w:pPr>
      <w:r>
        <w:drawing>
          <wp:anchor distT="0" distB="0" distL="114300" distR="114300" simplePos="0" relativeHeight="251660288" behindDoc="0" locked="0" layoutInCell="1" allowOverlap="1">
            <wp:simplePos x="0" y="0"/>
            <wp:positionH relativeFrom="column">
              <wp:posOffset>859790</wp:posOffset>
            </wp:positionH>
            <wp:positionV relativeFrom="paragraph">
              <wp:posOffset>-1166495</wp:posOffset>
            </wp:positionV>
            <wp:extent cx="3888105" cy="2258695"/>
            <wp:effectExtent l="4445" t="4445" r="12700" b="22860"/>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60" w:lineRule="exact"/>
        <w:jc w:val="center"/>
        <w:rPr>
          <w:rFonts w:eastAsia="仿宋"/>
          <w:color w:val="000000"/>
          <w:szCs w:val="32"/>
        </w:rPr>
      </w:pPr>
      <w:r>
        <w:rPr>
          <w:rFonts w:hint="eastAsia" w:eastAsia="仿宋"/>
          <w:color w:val="000000"/>
          <w:szCs w:val="32"/>
        </w:rPr>
        <w:t>（图</w:t>
      </w:r>
      <w:r>
        <w:rPr>
          <w:rFonts w:eastAsia="仿宋"/>
          <w:color w:val="000000"/>
          <w:szCs w:val="32"/>
        </w:rPr>
        <w:t>2</w:t>
      </w:r>
      <w:r>
        <w:rPr>
          <w:rFonts w:hint="eastAsia" w:eastAsia="仿宋"/>
          <w:color w:val="000000"/>
          <w:szCs w:val="32"/>
        </w:rPr>
        <w:t>：收入决算结构图）（饼状图）</w:t>
      </w:r>
      <w:bookmarkStart w:id="20" w:name="_Toc15377207"/>
      <w:bookmarkStart w:id="21" w:name="_Toc492235082"/>
      <w:bookmarkStart w:id="22" w:name="_Toc15396605"/>
    </w:p>
    <w:p>
      <w:pPr>
        <w:spacing w:line="560" w:lineRule="exact"/>
        <w:ind w:firstLine="640" w:firstLineChars="200"/>
        <w:rPr>
          <w:rStyle w:val="17"/>
          <w:rFonts w:ascii="Times New Roman" w:hAnsi="Times New Roman" w:eastAsia="黑体"/>
          <w:b w:val="0"/>
        </w:rPr>
      </w:pPr>
      <w:r>
        <w:rPr>
          <w:rFonts w:hint="eastAsia" w:eastAsia="黑体"/>
          <w:color w:val="000000"/>
          <w:szCs w:val="32"/>
        </w:rPr>
        <w:t>三、支</w:t>
      </w:r>
      <w:r>
        <w:rPr>
          <w:rStyle w:val="17"/>
          <w:rFonts w:hint="eastAsia" w:ascii="Times New Roman" w:hAnsi="Times New Roman" w:eastAsia="黑体"/>
          <w:b w:val="0"/>
        </w:rPr>
        <w:t>出决算情况说明</w:t>
      </w:r>
      <w:bookmarkEnd w:id="20"/>
      <w:bookmarkEnd w:id="21"/>
      <w:bookmarkEnd w:id="22"/>
    </w:p>
    <w:p>
      <w:pPr>
        <w:spacing w:line="560" w:lineRule="exact"/>
        <w:ind w:firstLine="640" w:firstLineChars="200"/>
        <w:rPr>
          <w:rFonts w:eastAsia="仿宋"/>
          <w:color w:val="000000"/>
          <w:szCs w:val="32"/>
        </w:rPr>
      </w:pPr>
      <w:r>
        <w:rPr>
          <w:rFonts w:eastAsia="仿宋"/>
          <w:color w:val="000000"/>
          <w:szCs w:val="32"/>
        </w:rPr>
        <w:t>202</w:t>
      </w:r>
      <w:r>
        <w:rPr>
          <w:rFonts w:hint="eastAsia" w:eastAsia="仿宋"/>
          <w:color w:val="000000"/>
          <w:szCs w:val="32"/>
        </w:rPr>
        <w:t>1年本年支出合计474.44万元，其中：基本支出348.34万元，占73.42</w:t>
      </w:r>
      <w:r>
        <w:rPr>
          <w:rFonts w:eastAsia="仿宋"/>
          <w:color w:val="000000"/>
          <w:szCs w:val="32"/>
        </w:rPr>
        <w:t>%</w:t>
      </w:r>
      <w:r>
        <w:rPr>
          <w:rFonts w:hint="eastAsia" w:eastAsia="仿宋"/>
          <w:color w:val="000000"/>
          <w:szCs w:val="32"/>
        </w:rPr>
        <w:t>；项目支出126.10万元，占26.58</w:t>
      </w:r>
      <w:r>
        <w:rPr>
          <w:rFonts w:eastAsia="仿宋"/>
          <w:color w:val="000000"/>
          <w:szCs w:val="32"/>
        </w:rPr>
        <w:t>%</w:t>
      </w:r>
      <w:r>
        <w:rPr>
          <w:rFonts w:hint="eastAsia" w:eastAsia="仿宋"/>
          <w:color w:val="000000"/>
          <w:szCs w:val="32"/>
        </w:rPr>
        <w:t>；上缴上级支出0万元，占0</w:t>
      </w:r>
      <w:r>
        <w:rPr>
          <w:rFonts w:eastAsia="仿宋"/>
          <w:color w:val="000000"/>
          <w:szCs w:val="32"/>
        </w:rPr>
        <w:t>%</w:t>
      </w:r>
      <w:r>
        <w:rPr>
          <w:rFonts w:hint="eastAsia" w:eastAsia="仿宋"/>
          <w:color w:val="000000"/>
          <w:szCs w:val="32"/>
        </w:rPr>
        <w:t>；经营支出0万元，占0</w:t>
      </w:r>
      <w:r>
        <w:rPr>
          <w:rFonts w:eastAsia="仿宋"/>
          <w:color w:val="000000"/>
          <w:szCs w:val="32"/>
        </w:rPr>
        <w:t>%</w:t>
      </w:r>
      <w:r>
        <w:rPr>
          <w:rFonts w:hint="eastAsia" w:eastAsia="仿宋"/>
          <w:color w:val="000000"/>
          <w:szCs w:val="32"/>
        </w:rPr>
        <w:t>；对附属单位补助支出0万元，占0</w:t>
      </w:r>
      <w:r>
        <w:rPr>
          <w:rFonts w:eastAsia="仿宋"/>
          <w:color w:val="000000"/>
          <w:szCs w:val="32"/>
        </w:rPr>
        <w:t>%</w:t>
      </w:r>
      <w:r>
        <w:rPr>
          <w:rFonts w:hint="eastAsia" w:eastAsia="仿宋"/>
          <w:color w:val="000000"/>
          <w:szCs w:val="32"/>
        </w:rPr>
        <w:t>。</w:t>
      </w:r>
    </w:p>
    <w:p>
      <w:pPr>
        <w:spacing w:line="560" w:lineRule="exact"/>
        <w:jc w:val="center"/>
        <w:rPr>
          <w:rFonts w:eastAsia="仿宋"/>
          <w:color w:val="000000"/>
          <w:szCs w:val="32"/>
        </w:rPr>
      </w:pPr>
      <w:r>
        <w:drawing>
          <wp:anchor distT="0" distB="0" distL="114300" distR="114300" simplePos="0" relativeHeight="251661312" behindDoc="0" locked="0" layoutInCell="1" allowOverlap="1">
            <wp:simplePos x="0" y="0"/>
            <wp:positionH relativeFrom="column">
              <wp:posOffset>991235</wp:posOffset>
            </wp:positionH>
            <wp:positionV relativeFrom="paragraph">
              <wp:posOffset>234315</wp:posOffset>
            </wp:positionV>
            <wp:extent cx="3449320" cy="2286000"/>
            <wp:effectExtent l="4445" t="5080" r="13335" b="1397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60" w:lineRule="exact"/>
        <w:jc w:val="center"/>
        <w:rPr>
          <w:color w:val="FF0000"/>
          <w:szCs w:val="32"/>
        </w:rPr>
      </w:pPr>
      <w:r>
        <w:rPr>
          <w:rFonts w:hint="eastAsia" w:eastAsia="仿宋"/>
          <w:color w:val="000000"/>
          <w:szCs w:val="32"/>
        </w:rPr>
        <w:t>（图</w:t>
      </w:r>
      <w:r>
        <w:rPr>
          <w:rFonts w:eastAsia="仿宋"/>
          <w:color w:val="000000"/>
          <w:szCs w:val="32"/>
        </w:rPr>
        <w:t>3</w:t>
      </w:r>
      <w:r>
        <w:rPr>
          <w:rFonts w:hint="eastAsia" w:eastAsia="仿宋"/>
          <w:color w:val="000000"/>
          <w:szCs w:val="32"/>
        </w:rPr>
        <w:t>：支出决算结构图）（饼状图）</w:t>
      </w:r>
    </w:p>
    <w:p>
      <w:pPr>
        <w:spacing w:line="560" w:lineRule="exact"/>
        <w:ind w:firstLine="640" w:firstLineChars="200"/>
        <w:outlineLvl w:val="1"/>
        <w:rPr>
          <w:rStyle w:val="17"/>
          <w:rFonts w:ascii="Times New Roman" w:hAnsi="Times New Roman" w:eastAsia="黑体"/>
          <w:b w:val="0"/>
        </w:rPr>
      </w:pPr>
      <w:bookmarkStart w:id="23" w:name="_Toc15396606"/>
      <w:bookmarkStart w:id="24" w:name="_Toc620090018"/>
      <w:bookmarkStart w:id="25" w:name="_Toc15377208"/>
      <w:r>
        <w:rPr>
          <w:rFonts w:hint="eastAsia" w:eastAsia="黑体"/>
          <w:color w:val="000000"/>
          <w:szCs w:val="32"/>
        </w:rPr>
        <w:t>四、财</w:t>
      </w:r>
      <w:r>
        <w:rPr>
          <w:rStyle w:val="17"/>
          <w:rFonts w:hint="eastAsia" w:ascii="Times New Roman" w:hAnsi="Times New Roman" w:eastAsia="黑体"/>
          <w:b w:val="0"/>
        </w:rPr>
        <w:t>政拨款收入支出决算总体情况说明</w:t>
      </w:r>
      <w:bookmarkEnd w:id="23"/>
      <w:bookmarkEnd w:id="24"/>
      <w:bookmarkEnd w:id="25"/>
    </w:p>
    <w:p>
      <w:pPr>
        <w:spacing w:line="560" w:lineRule="exact"/>
        <w:ind w:firstLine="640"/>
        <w:rPr>
          <w:szCs w:val="32"/>
        </w:rPr>
      </w:pPr>
      <w:r>
        <w:rPr>
          <w:rFonts w:eastAsia="仿宋"/>
          <w:color w:val="000000"/>
          <w:szCs w:val="32"/>
        </w:rPr>
        <w:t>202</w:t>
      </w:r>
      <w:r>
        <w:rPr>
          <w:rFonts w:hint="eastAsia" w:eastAsia="仿宋"/>
          <w:color w:val="000000"/>
          <w:szCs w:val="32"/>
        </w:rPr>
        <w:t>1年财政拨款收、支总计474.44万元。与</w:t>
      </w:r>
      <w:r>
        <w:rPr>
          <w:rFonts w:eastAsia="仿宋"/>
          <w:color w:val="000000"/>
          <w:szCs w:val="32"/>
        </w:rPr>
        <w:t>20</w:t>
      </w:r>
      <w:r>
        <w:rPr>
          <w:rFonts w:hint="eastAsia" w:eastAsia="仿宋"/>
          <w:color w:val="000000"/>
          <w:szCs w:val="32"/>
        </w:rPr>
        <w:t>20年相比，财政拨款收、支总计各增加46.36万元，增长10.83</w:t>
      </w:r>
      <w:r>
        <w:rPr>
          <w:rFonts w:eastAsia="仿宋"/>
          <w:color w:val="000000"/>
          <w:szCs w:val="32"/>
        </w:rPr>
        <w:t>%</w:t>
      </w:r>
      <w:r>
        <w:rPr>
          <w:rFonts w:hint="eastAsia" w:eastAsia="仿宋"/>
          <w:color w:val="000000"/>
          <w:szCs w:val="32"/>
        </w:rPr>
        <w:t>。主要变动原因是</w:t>
      </w:r>
      <w:r>
        <w:rPr>
          <w:rFonts w:hint="eastAsia"/>
          <w:szCs w:val="32"/>
        </w:rPr>
        <w:t>2020年目标奖全额在2021年发放，社保缴费基数标准增加等。</w:t>
      </w:r>
    </w:p>
    <w:p>
      <w:pPr>
        <w:pStyle w:val="7"/>
        <w:spacing w:before="131"/>
      </w:pPr>
      <w:r>
        <w:rPr>
          <w:rFonts w:hint="eastAsia" w:eastAsiaTheme="minorEastAsia"/>
        </w:rPr>
        <w:drawing>
          <wp:anchor distT="0" distB="0" distL="114300" distR="114300" simplePos="0" relativeHeight="251665408" behindDoc="0" locked="0" layoutInCell="1" allowOverlap="1">
            <wp:simplePos x="0" y="0"/>
            <wp:positionH relativeFrom="column">
              <wp:posOffset>1125855</wp:posOffset>
            </wp:positionH>
            <wp:positionV relativeFrom="page">
              <wp:posOffset>2092960</wp:posOffset>
            </wp:positionV>
            <wp:extent cx="3234690" cy="2184400"/>
            <wp:effectExtent l="4445" t="4445" r="18415" b="2095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60" w:lineRule="exact"/>
        <w:jc w:val="center"/>
        <w:rPr>
          <w:rFonts w:eastAsia="仿宋"/>
          <w:b/>
          <w:color w:val="00B050"/>
          <w:szCs w:val="32"/>
        </w:rPr>
      </w:pPr>
      <w:r>
        <w:rPr>
          <w:rFonts w:hint="eastAsia" w:eastAsia="仿宋"/>
          <w:color w:val="000000"/>
          <w:szCs w:val="32"/>
        </w:rPr>
        <w:t>（图</w:t>
      </w:r>
      <w:r>
        <w:rPr>
          <w:rFonts w:eastAsia="仿宋"/>
          <w:color w:val="000000"/>
          <w:szCs w:val="32"/>
        </w:rPr>
        <w:t>4</w:t>
      </w:r>
      <w:r>
        <w:rPr>
          <w:rFonts w:hint="eastAsia" w:eastAsia="仿宋"/>
          <w:color w:val="000000"/>
          <w:szCs w:val="32"/>
        </w:rPr>
        <w:t>：财政拨款收、支决算总计变动情况）（柱状图）</w:t>
      </w:r>
    </w:p>
    <w:p>
      <w:pPr>
        <w:spacing w:line="560" w:lineRule="exact"/>
        <w:ind w:firstLine="640" w:firstLineChars="200"/>
        <w:outlineLvl w:val="1"/>
        <w:rPr>
          <w:rStyle w:val="17"/>
          <w:rFonts w:ascii="Times New Roman" w:hAnsi="Times New Roman" w:eastAsia="黑体"/>
          <w:b w:val="0"/>
        </w:rPr>
      </w:pPr>
      <w:bookmarkStart w:id="26" w:name="_Toc15377209"/>
      <w:bookmarkStart w:id="27" w:name="_Toc15396607"/>
      <w:bookmarkStart w:id="28" w:name="_Toc221029078"/>
      <w:r>
        <w:rPr>
          <w:rFonts w:hint="eastAsia" w:eastAsia="黑体"/>
          <w:color w:val="000000"/>
          <w:szCs w:val="32"/>
        </w:rPr>
        <w:t>五、</w:t>
      </w:r>
      <w:r>
        <w:rPr>
          <w:rFonts w:hint="eastAsia" w:eastAsia="黑体"/>
          <w:b/>
          <w:color w:val="000000"/>
          <w:szCs w:val="32"/>
        </w:rPr>
        <w:t>一</w:t>
      </w:r>
      <w:r>
        <w:rPr>
          <w:rStyle w:val="17"/>
          <w:rFonts w:hint="eastAsia" w:ascii="Times New Roman" w:hAnsi="Times New Roman" w:eastAsia="黑体"/>
          <w:b w:val="0"/>
        </w:rPr>
        <w:t>般公共预算财政拨款支出决算情况说明</w:t>
      </w:r>
      <w:bookmarkEnd w:id="26"/>
      <w:bookmarkEnd w:id="27"/>
      <w:bookmarkEnd w:id="28"/>
    </w:p>
    <w:p>
      <w:pPr>
        <w:spacing w:line="560" w:lineRule="exact"/>
        <w:ind w:firstLine="643" w:firstLineChars="200"/>
        <w:outlineLvl w:val="2"/>
        <w:rPr>
          <w:rFonts w:eastAsia="仿宋"/>
          <w:b/>
          <w:color w:val="000000"/>
          <w:szCs w:val="32"/>
        </w:rPr>
      </w:pPr>
      <w:bookmarkStart w:id="29" w:name="_Toc15377210"/>
      <w:r>
        <w:rPr>
          <w:rFonts w:hint="eastAsia" w:eastAsia="仿宋"/>
          <w:b/>
          <w:color w:val="000000"/>
          <w:szCs w:val="32"/>
        </w:rPr>
        <w:t>（一）一般公共预算财政拨款支出决算总体情况</w:t>
      </w:r>
      <w:bookmarkEnd w:id="29"/>
    </w:p>
    <w:p>
      <w:pPr>
        <w:spacing w:line="560" w:lineRule="exact"/>
        <w:ind w:firstLine="640" w:firstLineChars="200"/>
        <w:rPr>
          <w:rFonts w:eastAsia="仿宋"/>
          <w:color w:val="000000"/>
          <w:szCs w:val="32"/>
        </w:rPr>
      </w:pPr>
      <w:r>
        <w:rPr>
          <w:rFonts w:hint="eastAsia" w:eastAsiaTheme="minorEastAsia"/>
        </w:rPr>
        <w:drawing>
          <wp:anchor distT="0" distB="0" distL="114300" distR="114300" simplePos="0" relativeHeight="251666432" behindDoc="0" locked="0" layoutInCell="1" allowOverlap="1">
            <wp:simplePos x="0" y="0"/>
            <wp:positionH relativeFrom="column">
              <wp:posOffset>1028065</wp:posOffset>
            </wp:positionH>
            <wp:positionV relativeFrom="page">
              <wp:posOffset>7275195</wp:posOffset>
            </wp:positionV>
            <wp:extent cx="3286760" cy="2214880"/>
            <wp:effectExtent l="4445" t="4445" r="23495" b="9525"/>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仿宋"/>
          <w:color w:val="000000"/>
          <w:szCs w:val="32"/>
        </w:rPr>
        <w:t>20</w:t>
      </w:r>
      <w:r>
        <w:rPr>
          <w:rFonts w:hint="eastAsia" w:eastAsia="仿宋"/>
          <w:color w:val="000000"/>
          <w:szCs w:val="32"/>
        </w:rPr>
        <w:t>21年一般公共预算财政拨款支出473.44万元，占本年支出合计的99.79</w:t>
      </w:r>
      <w:r>
        <w:rPr>
          <w:rFonts w:eastAsia="仿宋"/>
          <w:color w:val="000000"/>
          <w:szCs w:val="32"/>
        </w:rPr>
        <w:t>%</w:t>
      </w:r>
      <w:r>
        <w:rPr>
          <w:rFonts w:hint="eastAsia" w:eastAsia="仿宋"/>
          <w:color w:val="000000"/>
          <w:szCs w:val="32"/>
        </w:rPr>
        <w:t>。与</w:t>
      </w:r>
      <w:r>
        <w:rPr>
          <w:rFonts w:eastAsia="仿宋"/>
          <w:color w:val="000000"/>
          <w:szCs w:val="32"/>
        </w:rPr>
        <w:t>20</w:t>
      </w:r>
      <w:r>
        <w:rPr>
          <w:rFonts w:hint="eastAsia" w:eastAsia="仿宋"/>
          <w:color w:val="000000"/>
          <w:szCs w:val="32"/>
        </w:rPr>
        <w:t>20年相比，一般公共预算财政拨款增加46.36万元，增长10.83</w:t>
      </w:r>
      <w:r>
        <w:rPr>
          <w:rFonts w:eastAsia="仿宋"/>
          <w:color w:val="000000"/>
          <w:szCs w:val="32"/>
        </w:rPr>
        <w:t>%</w:t>
      </w:r>
      <w:r>
        <w:rPr>
          <w:rFonts w:hint="eastAsia" w:eastAsia="仿宋"/>
          <w:color w:val="000000"/>
          <w:szCs w:val="32"/>
        </w:rPr>
        <w:t>。主要变动原因是</w:t>
      </w:r>
      <w:r>
        <w:rPr>
          <w:rFonts w:hint="eastAsia"/>
          <w:szCs w:val="32"/>
        </w:rPr>
        <w:t>2020年目标奖全额在2021年发放，社保缴费基数标准增加等。</w:t>
      </w:r>
    </w:p>
    <w:p>
      <w:pPr>
        <w:spacing w:line="560" w:lineRule="exact"/>
        <w:jc w:val="center"/>
        <w:rPr>
          <w:rFonts w:eastAsia="仿宋"/>
          <w:color w:val="000000"/>
          <w:szCs w:val="32"/>
        </w:rPr>
      </w:pPr>
      <w:r>
        <w:rPr>
          <w:rFonts w:hint="eastAsia" w:eastAsia="仿宋"/>
          <w:color w:val="000000"/>
          <w:szCs w:val="32"/>
        </w:rPr>
        <w:t>（图</w:t>
      </w:r>
      <w:r>
        <w:rPr>
          <w:rFonts w:eastAsia="仿宋"/>
          <w:color w:val="000000"/>
          <w:szCs w:val="32"/>
        </w:rPr>
        <w:t>5</w:t>
      </w:r>
      <w:r>
        <w:rPr>
          <w:rFonts w:hint="eastAsia" w:eastAsia="仿宋"/>
          <w:color w:val="000000"/>
          <w:szCs w:val="32"/>
        </w:rPr>
        <w:t>：一般公共预算财政拨款支出决算变动情况）（柱状图）</w:t>
      </w:r>
    </w:p>
    <w:p>
      <w:pPr>
        <w:spacing w:line="560" w:lineRule="exact"/>
        <w:ind w:firstLine="643" w:firstLineChars="200"/>
        <w:outlineLvl w:val="2"/>
        <w:rPr>
          <w:rFonts w:eastAsia="仿宋"/>
          <w:b/>
          <w:color w:val="000000"/>
          <w:szCs w:val="32"/>
        </w:rPr>
      </w:pPr>
      <w:bookmarkStart w:id="30" w:name="_Toc15377211"/>
      <w:r>
        <w:rPr>
          <w:rFonts w:hint="eastAsia" w:eastAsia="仿宋"/>
          <w:b/>
          <w:color w:val="000000"/>
          <w:szCs w:val="32"/>
        </w:rPr>
        <w:t>（二）一般公共预算财政拨款支出决算结构情况</w:t>
      </w:r>
      <w:bookmarkEnd w:id="30"/>
    </w:p>
    <w:p>
      <w:pPr>
        <w:spacing w:line="560" w:lineRule="exact"/>
        <w:ind w:firstLine="640"/>
        <w:rPr>
          <w:rFonts w:eastAsia="仿宋"/>
          <w:color w:val="000000"/>
          <w:szCs w:val="32"/>
        </w:rPr>
      </w:pPr>
      <w:r>
        <w:drawing>
          <wp:anchor distT="0" distB="0" distL="114300" distR="114300" simplePos="0" relativeHeight="251662336" behindDoc="0" locked="0" layoutInCell="1" allowOverlap="1">
            <wp:simplePos x="0" y="0"/>
            <wp:positionH relativeFrom="column">
              <wp:posOffset>1304925</wp:posOffset>
            </wp:positionH>
            <wp:positionV relativeFrom="page">
              <wp:posOffset>3946525</wp:posOffset>
            </wp:positionV>
            <wp:extent cx="3248660" cy="2429510"/>
            <wp:effectExtent l="4445" t="4445" r="23495" b="2349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eastAsia="仿宋"/>
          <w:color w:val="000000"/>
          <w:szCs w:val="32"/>
        </w:rPr>
        <w:t>202</w:t>
      </w:r>
      <w:r>
        <w:rPr>
          <w:rFonts w:hint="eastAsia" w:eastAsia="仿宋"/>
          <w:color w:val="000000"/>
          <w:szCs w:val="32"/>
        </w:rPr>
        <w:t>1年一般公共预算财政拨款支出473.44万元，主要用于以下方面</w:t>
      </w:r>
      <w:r>
        <w:rPr>
          <w:rFonts w:eastAsia="仿宋"/>
          <w:color w:val="000000"/>
          <w:szCs w:val="32"/>
        </w:rPr>
        <w:t>:</w:t>
      </w:r>
      <w:r>
        <w:rPr>
          <w:rFonts w:hint="eastAsia" w:eastAsia="仿宋"/>
          <w:b/>
          <w:color w:val="000000"/>
          <w:szCs w:val="32"/>
        </w:rPr>
        <w:t>一般公共服务（类）</w:t>
      </w:r>
      <w:r>
        <w:rPr>
          <w:rFonts w:hint="eastAsia" w:eastAsia="仿宋"/>
          <w:color w:val="000000"/>
          <w:szCs w:val="32"/>
        </w:rPr>
        <w:t>支出365.45万元，占77.19</w:t>
      </w:r>
      <w:r>
        <w:rPr>
          <w:rFonts w:eastAsia="仿宋"/>
          <w:color w:val="000000"/>
          <w:szCs w:val="32"/>
        </w:rPr>
        <w:t>%</w:t>
      </w:r>
      <w:r>
        <w:rPr>
          <w:rFonts w:hint="eastAsia" w:eastAsia="仿宋"/>
          <w:color w:val="000000"/>
          <w:szCs w:val="32"/>
        </w:rPr>
        <w:t>；</w:t>
      </w:r>
      <w:r>
        <w:rPr>
          <w:rFonts w:hint="eastAsia" w:eastAsia="仿宋"/>
          <w:b/>
          <w:color w:val="000000"/>
          <w:szCs w:val="32"/>
        </w:rPr>
        <w:t>社会保障和就业（类）</w:t>
      </w:r>
      <w:r>
        <w:rPr>
          <w:rFonts w:hint="eastAsia" w:eastAsia="仿宋"/>
          <w:color w:val="000000"/>
          <w:szCs w:val="32"/>
        </w:rPr>
        <w:t>支出79.07万元，占16.70</w:t>
      </w:r>
      <w:r>
        <w:rPr>
          <w:rFonts w:eastAsia="仿宋"/>
          <w:color w:val="000000"/>
          <w:szCs w:val="32"/>
        </w:rPr>
        <w:t>%</w:t>
      </w:r>
      <w:r>
        <w:rPr>
          <w:rFonts w:hint="eastAsia" w:eastAsia="仿宋"/>
          <w:color w:val="000000"/>
          <w:szCs w:val="32"/>
        </w:rPr>
        <w:t>；</w:t>
      </w:r>
      <w:r>
        <w:rPr>
          <w:rFonts w:hint="eastAsia" w:eastAsia="仿宋"/>
          <w:b/>
          <w:bCs/>
          <w:color w:val="000000"/>
          <w:szCs w:val="32"/>
        </w:rPr>
        <w:t>卫生健康支出</w:t>
      </w:r>
      <w:r>
        <w:rPr>
          <w:rFonts w:hint="eastAsia" w:eastAsia="仿宋"/>
          <w:color w:val="000000"/>
          <w:szCs w:val="32"/>
        </w:rPr>
        <w:t>12.06万元，占2.55</w:t>
      </w:r>
      <w:r>
        <w:rPr>
          <w:rFonts w:eastAsia="仿宋"/>
          <w:color w:val="000000"/>
          <w:szCs w:val="32"/>
        </w:rPr>
        <w:t>%</w:t>
      </w:r>
      <w:r>
        <w:rPr>
          <w:rFonts w:hint="eastAsia" w:eastAsia="仿宋"/>
          <w:color w:val="000000"/>
          <w:szCs w:val="32"/>
        </w:rPr>
        <w:t>；</w:t>
      </w:r>
      <w:r>
        <w:rPr>
          <w:rFonts w:hint="eastAsia" w:eastAsia="仿宋"/>
          <w:b/>
          <w:bCs/>
          <w:color w:val="000000"/>
          <w:szCs w:val="32"/>
        </w:rPr>
        <w:t>住房保障支出</w:t>
      </w:r>
      <w:r>
        <w:rPr>
          <w:rFonts w:hint="eastAsia" w:eastAsia="仿宋"/>
          <w:color w:val="000000"/>
          <w:szCs w:val="32"/>
        </w:rPr>
        <w:t>16.86万元，占3.56</w:t>
      </w:r>
      <w:r>
        <w:rPr>
          <w:rFonts w:eastAsia="仿宋"/>
          <w:color w:val="000000"/>
          <w:szCs w:val="32"/>
        </w:rPr>
        <w:t>%</w:t>
      </w:r>
      <w:r>
        <w:rPr>
          <w:rFonts w:hint="eastAsia" w:eastAsia="仿宋"/>
          <w:color w:val="000000"/>
          <w:szCs w:val="32"/>
        </w:rPr>
        <w:t>。</w:t>
      </w:r>
    </w:p>
    <w:p>
      <w:pPr>
        <w:pStyle w:val="7"/>
        <w:spacing w:before="131"/>
        <w:rPr>
          <w:rFonts w:ascii="Times New Roman" w:eastAsia="仿宋"/>
          <w:color w:val="000000"/>
          <w:sz w:val="32"/>
          <w:szCs w:val="32"/>
        </w:rPr>
      </w:pPr>
    </w:p>
    <w:p>
      <w:pPr>
        <w:spacing w:line="560" w:lineRule="exact"/>
        <w:jc w:val="center"/>
        <w:rPr>
          <w:rFonts w:eastAsia="仿宋"/>
          <w:color w:val="000000"/>
          <w:szCs w:val="32"/>
        </w:rPr>
      </w:pPr>
      <w:r>
        <w:rPr>
          <w:rFonts w:hint="eastAsia" w:eastAsia="仿宋"/>
          <w:color w:val="000000"/>
          <w:szCs w:val="32"/>
        </w:rPr>
        <w:t>（图</w:t>
      </w:r>
      <w:r>
        <w:rPr>
          <w:rFonts w:eastAsia="仿宋"/>
          <w:color w:val="000000"/>
          <w:szCs w:val="32"/>
        </w:rPr>
        <w:t>6</w:t>
      </w:r>
      <w:r>
        <w:rPr>
          <w:rFonts w:hint="eastAsia" w:eastAsia="仿宋"/>
          <w:color w:val="000000"/>
          <w:szCs w:val="32"/>
        </w:rPr>
        <w:t>：一般公共预算财政拨款支出决算结构）（饼状图）</w:t>
      </w:r>
    </w:p>
    <w:p>
      <w:pPr>
        <w:spacing w:line="560" w:lineRule="exact"/>
        <w:ind w:firstLine="643" w:firstLineChars="200"/>
        <w:outlineLvl w:val="2"/>
        <w:rPr>
          <w:rFonts w:eastAsia="仿宋"/>
          <w:b/>
          <w:color w:val="000000"/>
          <w:szCs w:val="32"/>
        </w:rPr>
      </w:pPr>
      <w:bookmarkStart w:id="31" w:name="_Toc15377212"/>
      <w:r>
        <w:rPr>
          <w:rFonts w:hint="eastAsia" w:eastAsia="仿宋"/>
          <w:b/>
          <w:color w:val="000000"/>
          <w:szCs w:val="32"/>
        </w:rPr>
        <w:t>（三）一般公共预算财政拨款支出决算具体情况</w:t>
      </w:r>
      <w:bookmarkEnd w:id="31"/>
    </w:p>
    <w:p>
      <w:pPr>
        <w:spacing w:line="560" w:lineRule="exact"/>
        <w:ind w:firstLine="643" w:firstLineChars="200"/>
        <w:rPr>
          <w:rFonts w:eastAsia="仿宋"/>
          <w:color w:val="FF0000"/>
          <w:szCs w:val="32"/>
        </w:rPr>
      </w:pPr>
      <w:bookmarkStart w:id="32" w:name="_Toc15377213"/>
      <w:bookmarkStart w:id="33" w:name="_Toc15378460"/>
      <w:bookmarkStart w:id="34" w:name="_Toc15377444"/>
      <w:r>
        <w:rPr>
          <w:rFonts w:eastAsia="仿宋"/>
          <w:b/>
          <w:color w:val="000000"/>
          <w:szCs w:val="32"/>
        </w:rPr>
        <w:t>202</w:t>
      </w:r>
      <w:r>
        <w:rPr>
          <w:rFonts w:hint="eastAsia" w:eastAsia="仿宋"/>
          <w:b/>
          <w:color w:val="000000"/>
          <w:szCs w:val="32"/>
        </w:rPr>
        <w:t>1年一般公共预算支出决算数为473.44</w:t>
      </w:r>
      <w:r>
        <w:rPr>
          <w:rFonts w:hint="eastAsia" w:eastAsia="仿宋"/>
          <w:color w:val="000000"/>
          <w:szCs w:val="32"/>
        </w:rPr>
        <w:t>，</w:t>
      </w:r>
      <w:r>
        <w:rPr>
          <w:rStyle w:val="14"/>
          <w:rFonts w:hint="eastAsia" w:eastAsia="仿宋"/>
          <w:bCs/>
          <w:color w:val="000000"/>
          <w:szCs w:val="32"/>
        </w:rPr>
        <w:t>完成预算100</w:t>
      </w:r>
      <w:r>
        <w:rPr>
          <w:rStyle w:val="14"/>
          <w:rFonts w:eastAsia="仿宋"/>
          <w:bCs/>
          <w:color w:val="000000"/>
          <w:szCs w:val="32"/>
        </w:rPr>
        <w:t>%</w:t>
      </w:r>
      <w:r>
        <w:rPr>
          <w:rStyle w:val="14"/>
          <w:rFonts w:hint="eastAsia" w:eastAsia="仿宋"/>
          <w:bCs/>
          <w:color w:val="000000"/>
          <w:szCs w:val="32"/>
        </w:rPr>
        <w:t>。其中：</w:t>
      </w:r>
      <w:bookmarkEnd w:id="32"/>
      <w:bookmarkEnd w:id="33"/>
      <w:bookmarkEnd w:id="34"/>
    </w:p>
    <w:p>
      <w:pPr>
        <w:spacing w:line="560" w:lineRule="exact"/>
        <w:ind w:firstLine="643" w:firstLineChars="200"/>
        <w:rPr>
          <w:rFonts w:eastAsia="仿宋"/>
          <w:color w:val="000000"/>
          <w:szCs w:val="32"/>
        </w:rPr>
      </w:pPr>
      <w:r>
        <w:rPr>
          <w:rFonts w:hint="eastAsia" w:eastAsia="仿宋"/>
          <w:b/>
          <w:bCs/>
          <w:szCs w:val="32"/>
        </w:rPr>
        <w:t>1.一般公共服务（类）群众团体事务（款）行政运行（项）:</w:t>
      </w:r>
      <w:r>
        <w:rPr>
          <w:rFonts w:hint="eastAsia" w:eastAsia="仿宋"/>
          <w:color w:val="000000"/>
          <w:szCs w:val="32"/>
        </w:rPr>
        <w:t>决算数为242.35万元，完成预算100%。</w:t>
      </w:r>
    </w:p>
    <w:p>
      <w:pPr>
        <w:spacing w:line="560" w:lineRule="exact"/>
        <w:ind w:firstLine="643" w:firstLineChars="200"/>
        <w:rPr>
          <w:rFonts w:eastAsia="仿宋"/>
          <w:color w:val="000000"/>
          <w:szCs w:val="32"/>
        </w:rPr>
      </w:pPr>
      <w:r>
        <w:rPr>
          <w:rFonts w:hint="eastAsia" w:eastAsia="仿宋"/>
          <w:b/>
          <w:bCs/>
          <w:szCs w:val="32"/>
        </w:rPr>
        <w:t>2. 一般公共服务（类）群众团体事务（款）一般行政管理事务（项）:</w:t>
      </w:r>
      <w:r>
        <w:rPr>
          <w:rFonts w:hint="eastAsia" w:eastAsia="仿宋"/>
          <w:color w:val="000000"/>
          <w:szCs w:val="32"/>
        </w:rPr>
        <w:t>决算数为117.10万元，完成预算100%。</w:t>
      </w:r>
    </w:p>
    <w:p>
      <w:pPr>
        <w:spacing w:line="560" w:lineRule="exact"/>
        <w:ind w:firstLine="643" w:firstLineChars="200"/>
        <w:rPr>
          <w:rFonts w:eastAsia="仿宋"/>
          <w:color w:val="000000"/>
          <w:szCs w:val="32"/>
        </w:rPr>
      </w:pPr>
      <w:r>
        <w:rPr>
          <w:rFonts w:hint="eastAsia" w:eastAsia="仿宋"/>
          <w:b/>
          <w:bCs/>
          <w:szCs w:val="32"/>
        </w:rPr>
        <w:t>3. 一般公共服务（类）群众团体事务（款）其他群众团体事务支出（项）:</w:t>
      </w:r>
      <w:r>
        <w:rPr>
          <w:rFonts w:hint="eastAsia" w:eastAsia="仿宋"/>
          <w:color w:val="000000"/>
          <w:szCs w:val="32"/>
        </w:rPr>
        <w:t>决算数为6万元，完成预算100%。</w:t>
      </w:r>
    </w:p>
    <w:p>
      <w:pPr>
        <w:spacing w:line="560" w:lineRule="exact"/>
        <w:ind w:firstLine="643" w:firstLineChars="200"/>
        <w:rPr>
          <w:rFonts w:eastAsia="仿宋"/>
          <w:color w:val="000000"/>
          <w:szCs w:val="32"/>
        </w:rPr>
      </w:pPr>
      <w:r>
        <w:rPr>
          <w:rFonts w:eastAsia="仿宋"/>
          <w:b/>
          <w:bCs/>
          <w:szCs w:val="32"/>
        </w:rPr>
        <w:t>4</w:t>
      </w:r>
      <w:r>
        <w:rPr>
          <w:rFonts w:hint="eastAsia" w:eastAsia="仿宋"/>
          <w:b/>
          <w:bCs/>
          <w:szCs w:val="32"/>
        </w:rPr>
        <w:t>.社会保障和就业支出（类）行政事业单位离退休（款）归口管理的行政单位离退休（项）:</w:t>
      </w:r>
      <w:r>
        <w:rPr>
          <w:rFonts w:hint="eastAsia" w:eastAsia="仿宋"/>
          <w:color w:val="000000"/>
          <w:szCs w:val="32"/>
        </w:rPr>
        <w:t>决算数为39.87万元，完成预算100%。</w:t>
      </w:r>
    </w:p>
    <w:p>
      <w:pPr>
        <w:spacing w:line="560" w:lineRule="exact"/>
        <w:ind w:firstLine="643" w:firstLineChars="200"/>
        <w:rPr>
          <w:rFonts w:eastAsia="仿宋"/>
          <w:color w:val="000000"/>
          <w:szCs w:val="32"/>
        </w:rPr>
      </w:pPr>
      <w:r>
        <w:rPr>
          <w:rFonts w:eastAsia="仿宋"/>
          <w:b/>
          <w:bCs/>
          <w:szCs w:val="32"/>
        </w:rPr>
        <w:t>5</w:t>
      </w:r>
      <w:r>
        <w:rPr>
          <w:rFonts w:hint="eastAsia" w:eastAsia="仿宋"/>
          <w:b/>
          <w:bCs/>
          <w:szCs w:val="32"/>
        </w:rPr>
        <w:t>. 社会保障和就业支出（类）行政事业单位离退休（款）机关事业单位基本养老保险缴费支出（项）:</w:t>
      </w:r>
      <w:r>
        <w:rPr>
          <w:rFonts w:hint="eastAsia" w:eastAsia="仿宋"/>
          <w:color w:val="000000"/>
          <w:szCs w:val="32"/>
        </w:rPr>
        <w:t>决算数为</w:t>
      </w:r>
      <w:r>
        <w:rPr>
          <w:rFonts w:eastAsia="仿宋"/>
          <w:color w:val="000000"/>
          <w:szCs w:val="32"/>
        </w:rPr>
        <w:t>15.</w:t>
      </w:r>
      <w:r>
        <w:rPr>
          <w:rFonts w:hint="eastAsia" w:eastAsia="仿宋"/>
          <w:color w:val="000000"/>
          <w:szCs w:val="32"/>
        </w:rPr>
        <w:t>24万元，完成预算100%。</w:t>
      </w:r>
    </w:p>
    <w:p>
      <w:pPr>
        <w:spacing w:line="560" w:lineRule="exact"/>
        <w:ind w:firstLine="643" w:firstLineChars="200"/>
      </w:pPr>
      <w:r>
        <w:rPr>
          <w:rFonts w:hint="eastAsia" w:eastAsia="仿宋"/>
          <w:b/>
          <w:bCs/>
          <w:szCs w:val="32"/>
        </w:rPr>
        <w:t>6. 社会保障和就业支出（类）抚恤（款）死亡抚恤（项）:</w:t>
      </w:r>
      <w:r>
        <w:rPr>
          <w:rFonts w:hint="eastAsia" w:eastAsia="仿宋"/>
          <w:color w:val="000000"/>
          <w:szCs w:val="32"/>
        </w:rPr>
        <w:t>决算数为23.96万元，完成预算100%。</w:t>
      </w:r>
    </w:p>
    <w:p>
      <w:pPr>
        <w:spacing w:line="560" w:lineRule="exact"/>
        <w:ind w:firstLine="643" w:firstLineChars="200"/>
        <w:rPr>
          <w:rFonts w:eastAsia="仿宋"/>
          <w:color w:val="000000"/>
          <w:szCs w:val="32"/>
        </w:rPr>
      </w:pPr>
      <w:r>
        <w:rPr>
          <w:rFonts w:hint="eastAsia" w:eastAsia="仿宋"/>
          <w:b/>
          <w:bCs/>
          <w:szCs w:val="32"/>
        </w:rPr>
        <w:t>7.卫生健康支出（类）公共卫生（款）重大公共卫生服务（项）:</w:t>
      </w:r>
      <w:r>
        <w:rPr>
          <w:rFonts w:hint="eastAsia" w:eastAsia="仿宋"/>
          <w:color w:val="000000"/>
          <w:szCs w:val="32"/>
        </w:rPr>
        <w:t>决算数为2万元，完成预算100%。</w:t>
      </w:r>
      <w:r>
        <w:rPr>
          <w:rFonts w:hint="eastAsia" w:eastAsia="仿宋"/>
          <w:color w:val="000000"/>
          <w:szCs w:val="32"/>
        </w:rPr>
        <w:br w:type="textWrapping"/>
      </w:r>
      <w:r>
        <w:rPr>
          <w:rFonts w:hint="eastAsia" w:eastAsia="仿宋"/>
          <w:color w:val="000000"/>
          <w:szCs w:val="32"/>
        </w:rPr>
        <w:t>　　</w:t>
      </w:r>
      <w:r>
        <w:rPr>
          <w:rFonts w:hint="eastAsia" w:eastAsia="仿宋"/>
          <w:b/>
          <w:bCs/>
          <w:szCs w:val="32"/>
        </w:rPr>
        <w:t>8. 卫生健康支出（类）行政事业单位医疗（款）行政单位医疗（项）:</w:t>
      </w:r>
      <w:r>
        <w:rPr>
          <w:rFonts w:hint="eastAsia" w:eastAsia="仿宋"/>
          <w:color w:val="000000"/>
          <w:szCs w:val="32"/>
        </w:rPr>
        <w:t>决算数为1</w:t>
      </w:r>
      <w:r>
        <w:rPr>
          <w:rFonts w:eastAsia="仿宋"/>
          <w:color w:val="000000"/>
          <w:szCs w:val="32"/>
        </w:rPr>
        <w:t>0.</w:t>
      </w:r>
      <w:r>
        <w:rPr>
          <w:rFonts w:hint="eastAsia" w:eastAsia="仿宋"/>
          <w:color w:val="000000"/>
          <w:szCs w:val="32"/>
        </w:rPr>
        <w:t>06万元，完成预算100%。</w:t>
      </w:r>
    </w:p>
    <w:p>
      <w:pPr>
        <w:tabs>
          <w:tab w:val="right" w:pos="8306"/>
        </w:tabs>
        <w:spacing w:line="560" w:lineRule="exact"/>
        <w:ind w:firstLine="640"/>
        <w:outlineLvl w:val="1"/>
        <w:rPr>
          <w:rFonts w:eastAsia="仿宋"/>
          <w:b/>
          <w:color w:val="000000"/>
          <w:szCs w:val="32"/>
        </w:rPr>
      </w:pPr>
      <w:r>
        <w:rPr>
          <w:rFonts w:hint="eastAsia" w:eastAsia="仿宋"/>
          <w:b/>
          <w:bCs/>
          <w:szCs w:val="32"/>
        </w:rPr>
        <w:t>9. 住房保障支出（类）住房改革支出（款）住房公积金（项）:</w:t>
      </w:r>
      <w:r>
        <w:rPr>
          <w:rFonts w:hint="eastAsia" w:eastAsia="仿宋"/>
          <w:color w:val="000000"/>
          <w:szCs w:val="32"/>
        </w:rPr>
        <w:t>决算数为16.86万元，完成预算100%。</w:t>
      </w:r>
    </w:p>
    <w:p>
      <w:pPr>
        <w:tabs>
          <w:tab w:val="right" w:pos="8306"/>
        </w:tabs>
        <w:spacing w:line="560" w:lineRule="exact"/>
        <w:ind w:firstLine="640"/>
        <w:outlineLvl w:val="1"/>
        <w:rPr>
          <w:rStyle w:val="17"/>
          <w:rFonts w:ascii="Times New Roman" w:hAnsi="Times New Roman"/>
        </w:rPr>
      </w:pPr>
      <w:bookmarkStart w:id="35" w:name="_Toc15377214"/>
      <w:bookmarkStart w:id="36" w:name="_Toc15396608"/>
      <w:bookmarkStart w:id="37" w:name="_Toc1969056280"/>
      <w:r>
        <w:rPr>
          <w:rFonts w:hint="eastAsia" w:eastAsia="黑体"/>
          <w:color w:val="000000"/>
          <w:szCs w:val="32"/>
        </w:rPr>
        <w:t>六</w:t>
      </w:r>
      <w:r>
        <w:rPr>
          <w:rFonts w:hint="eastAsia" w:eastAsia="黑体"/>
          <w:b/>
          <w:color w:val="000000"/>
          <w:szCs w:val="32"/>
        </w:rPr>
        <w:t>、一</w:t>
      </w:r>
      <w:r>
        <w:rPr>
          <w:rStyle w:val="17"/>
          <w:rFonts w:hint="eastAsia" w:ascii="Times New Roman" w:hAnsi="Times New Roman" w:eastAsia="黑体"/>
          <w:b w:val="0"/>
        </w:rPr>
        <w:t>般公共预算财政拨款基本支出决算情况说明</w:t>
      </w:r>
      <w:bookmarkEnd w:id="35"/>
      <w:bookmarkEnd w:id="36"/>
      <w:bookmarkEnd w:id="37"/>
      <w:r>
        <w:rPr>
          <w:rStyle w:val="17"/>
          <w:rFonts w:ascii="Times New Roman" w:hAnsi="Times New Roman" w:eastAsia="黑体"/>
          <w:b w:val="0"/>
        </w:rPr>
        <w:tab/>
      </w:r>
    </w:p>
    <w:p>
      <w:pPr>
        <w:spacing w:line="560" w:lineRule="exact"/>
        <w:ind w:firstLine="645"/>
        <w:rPr>
          <w:rFonts w:eastAsia="仿宋"/>
          <w:color w:val="000000"/>
          <w:szCs w:val="32"/>
        </w:rPr>
      </w:pPr>
      <w:r>
        <w:rPr>
          <w:rFonts w:eastAsia="仿宋"/>
          <w:color w:val="000000"/>
          <w:szCs w:val="32"/>
        </w:rPr>
        <w:t>202</w:t>
      </w:r>
      <w:r>
        <w:rPr>
          <w:rFonts w:hint="eastAsia" w:eastAsia="仿宋"/>
          <w:color w:val="000000"/>
          <w:szCs w:val="32"/>
        </w:rPr>
        <w:t>1年一般公共预算财政拨款基本支出348.34万元，其中：</w:t>
      </w:r>
    </w:p>
    <w:p>
      <w:pPr>
        <w:spacing w:line="560" w:lineRule="exact"/>
        <w:ind w:firstLine="645"/>
        <w:rPr>
          <w:rFonts w:eastAsia="仿宋"/>
          <w:b/>
          <w:color w:val="FF0000"/>
          <w:szCs w:val="32"/>
        </w:rPr>
      </w:pPr>
      <w:r>
        <w:rPr>
          <w:rFonts w:hint="eastAsia" w:eastAsia="仿宋"/>
          <w:color w:val="000000"/>
          <w:szCs w:val="32"/>
        </w:rPr>
        <w:t>人员经费280.72万元，主要包括：基本工资、津贴补贴、奖金、机关事业单位基本养老保险缴费、职工基本医疗保险缴费、其他工资福利支出、退休费、抚恤金、生活补助、住房公积金、其他对个人和家庭的补助支出等。</w:t>
      </w:r>
      <w:r>
        <w:rPr>
          <w:rFonts w:eastAsia="仿宋"/>
          <w:color w:val="000000"/>
          <w:szCs w:val="32"/>
        </w:rPr>
        <w:br w:type="textWrapping"/>
      </w:r>
      <w:r>
        <w:rPr>
          <w:rFonts w:hint="eastAsia" w:eastAsia="仿宋"/>
          <w:color w:val="000000"/>
          <w:szCs w:val="32"/>
        </w:rPr>
        <w:t>　　日常公用经费67.62万元，主要包括：办公费、印刷费、水费、电费、邮电费、差旅费、维修（护）费、会议费、培训费、公务接待费、劳务费、工会经费、公务用车运行维护费、其他交通费、其他商品和服务支出等。</w:t>
      </w:r>
    </w:p>
    <w:p>
      <w:pPr>
        <w:spacing w:line="560" w:lineRule="exact"/>
        <w:ind w:firstLine="640"/>
        <w:outlineLvl w:val="1"/>
        <w:rPr>
          <w:rStyle w:val="17"/>
          <w:rFonts w:ascii="Times New Roman" w:hAnsi="Times New Roman" w:eastAsia="黑体"/>
          <w:b w:val="0"/>
        </w:rPr>
      </w:pPr>
      <w:bookmarkStart w:id="38" w:name="_Toc15396609"/>
      <w:bookmarkStart w:id="39" w:name="_Toc15377215"/>
      <w:bookmarkStart w:id="40" w:name="_Toc430598489"/>
      <w:r>
        <w:rPr>
          <w:rFonts w:hint="eastAsia" w:eastAsia="黑体"/>
          <w:color w:val="000000"/>
          <w:szCs w:val="32"/>
        </w:rPr>
        <w:t>七、</w:t>
      </w:r>
      <w:r>
        <w:rPr>
          <w:rStyle w:val="17"/>
          <w:rFonts w:hint="eastAsia" w:ascii="Times New Roman" w:hAnsi="Times New Roman" w:eastAsia="黑体"/>
        </w:rPr>
        <w:t>“</w:t>
      </w:r>
      <w:r>
        <w:rPr>
          <w:rStyle w:val="17"/>
          <w:rFonts w:hint="eastAsia" w:ascii="Times New Roman" w:hAnsi="Times New Roman" w:eastAsia="黑体"/>
          <w:b w:val="0"/>
        </w:rPr>
        <w:t>三公”经费财政拨款支出决算情况说明</w:t>
      </w:r>
      <w:bookmarkEnd w:id="38"/>
      <w:bookmarkEnd w:id="39"/>
      <w:bookmarkEnd w:id="40"/>
    </w:p>
    <w:p>
      <w:pPr>
        <w:spacing w:line="560" w:lineRule="exact"/>
        <w:ind w:firstLine="640"/>
        <w:outlineLvl w:val="2"/>
        <w:rPr>
          <w:rFonts w:eastAsia="仿宋"/>
          <w:b/>
          <w:color w:val="000000"/>
          <w:szCs w:val="32"/>
        </w:rPr>
      </w:pPr>
      <w:bookmarkStart w:id="41" w:name="_Toc15377216"/>
      <w:r>
        <w:rPr>
          <w:rFonts w:hint="eastAsia" w:eastAsia="仿宋"/>
          <w:b/>
          <w:color w:val="000000"/>
          <w:szCs w:val="32"/>
        </w:rPr>
        <w:t>（一）“三公”经费财政拨款支出决算总体情况说明</w:t>
      </w:r>
      <w:bookmarkEnd w:id="41"/>
    </w:p>
    <w:p>
      <w:pPr>
        <w:spacing w:line="560" w:lineRule="exact"/>
        <w:ind w:firstLine="640"/>
        <w:rPr>
          <w:rFonts w:hint="eastAsia" w:eastAsia="仿宋"/>
          <w:szCs w:val="32"/>
        </w:rPr>
      </w:pPr>
      <w:r>
        <w:drawing>
          <wp:anchor distT="0" distB="0" distL="114300" distR="114300" simplePos="0" relativeHeight="251663360" behindDoc="0" locked="0" layoutInCell="1" allowOverlap="1">
            <wp:simplePos x="0" y="0"/>
            <wp:positionH relativeFrom="column">
              <wp:posOffset>1426845</wp:posOffset>
            </wp:positionH>
            <wp:positionV relativeFrom="paragraph">
              <wp:posOffset>2894965</wp:posOffset>
            </wp:positionV>
            <wp:extent cx="3352800" cy="2353310"/>
            <wp:effectExtent l="4445" t="4445" r="14605" b="23495"/>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
          <w:color w:val="000000"/>
          <w:szCs w:val="32"/>
        </w:rPr>
        <w:t>202</w:t>
      </w:r>
      <w:r>
        <w:rPr>
          <w:rFonts w:hint="eastAsia" w:eastAsia="仿宋"/>
          <w:color w:val="000000"/>
          <w:szCs w:val="32"/>
        </w:rPr>
        <w:t>1年“三公”经费财政拨款支出决算为3.47万元，</w:t>
      </w:r>
      <w:r>
        <w:rPr>
          <w:rFonts w:hint="eastAsia" w:eastAsia="仿宋"/>
          <w:szCs w:val="32"/>
        </w:rPr>
        <w:t>完成预算100</w:t>
      </w:r>
      <w:r>
        <w:rPr>
          <w:rFonts w:eastAsia="仿宋"/>
          <w:szCs w:val="32"/>
        </w:rPr>
        <w:t>%</w:t>
      </w:r>
      <w:r>
        <w:rPr>
          <w:rFonts w:hint="eastAsia" w:eastAsia="仿宋"/>
          <w:szCs w:val="32"/>
        </w:rPr>
        <w:t>，决算数与预算数持平。</w:t>
      </w:r>
    </w:p>
    <w:p>
      <w:pPr>
        <w:spacing w:line="560" w:lineRule="exact"/>
        <w:ind w:firstLine="640"/>
        <w:outlineLvl w:val="2"/>
        <w:rPr>
          <w:rFonts w:eastAsia="仿宋"/>
          <w:b/>
          <w:color w:val="000000"/>
          <w:szCs w:val="32"/>
        </w:rPr>
      </w:pPr>
      <w:bookmarkStart w:id="42" w:name="_Toc15377217"/>
      <w:r>
        <w:rPr>
          <w:rFonts w:hint="eastAsia" w:eastAsia="仿宋"/>
          <w:b/>
          <w:color w:val="000000"/>
          <w:szCs w:val="32"/>
        </w:rPr>
        <w:t>（二）“三公”经费财政拨款支出决算具体情况说明</w:t>
      </w:r>
      <w:bookmarkEnd w:id="42"/>
    </w:p>
    <w:p>
      <w:pPr>
        <w:spacing w:line="560" w:lineRule="exact"/>
        <w:ind w:firstLine="640"/>
        <w:rPr>
          <w:rFonts w:eastAsia="仿宋"/>
          <w:color w:val="000000"/>
          <w:szCs w:val="32"/>
        </w:rPr>
      </w:pPr>
      <w:r>
        <w:rPr>
          <w:rFonts w:eastAsia="仿宋"/>
          <w:color w:val="000000"/>
          <w:szCs w:val="32"/>
        </w:rPr>
        <w:t>202</w:t>
      </w:r>
      <w:r>
        <w:rPr>
          <w:rFonts w:hint="eastAsia" w:eastAsia="仿宋"/>
          <w:color w:val="000000"/>
          <w:szCs w:val="32"/>
        </w:rPr>
        <w:t>1年“三公”经费财政拨款支出决算中，因公出国（境）费支出决算0万元，占0</w:t>
      </w:r>
      <w:r>
        <w:rPr>
          <w:rFonts w:eastAsia="仿宋"/>
          <w:color w:val="000000"/>
          <w:szCs w:val="32"/>
        </w:rPr>
        <w:t>%</w:t>
      </w:r>
      <w:r>
        <w:rPr>
          <w:rFonts w:hint="eastAsia" w:eastAsia="仿宋"/>
          <w:color w:val="000000"/>
          <w:szCs w:val="32"/>
        </w:rPr>
        <w:t>；公务用车购置及运行维护费支出决算2.49万元，占71.76</w:t>
      </w:r>
      <w:r>
        <w:rPr>
          <w:rFonts w:eastAsia="仿宋"/>
          <w:color w:val="000000"/>
          <w:szCs w:val="32"/>
        </w:rPr>
        <w:t>%</w:t>
      </w:r>
      <w:r>
        <w:rPr>
          <w:rFonts w:hint="eastAsia" w:eastAsia="仿宋"/>
          <w:color w:val="000000"/>
          <w:szCs w:val="32"/>
        </w:rPr>
        <w:t>；公务接待费支出决算0.98万元，占28.24</w:t>
      </w:r>
      <w:r>
        <w:rPr>
          <w:rFonts w:eastAsia="仿宋"/>
          <w:color w:val="000000"/>
          <w:szCs w:val="32"/>
        </w:rPr>
        <w:t>%</w:t>
      </w:r>
      <w:r>
        <w:rPr>
          <w:rFonts w:hint="eastAsia" w:eastAsia="仿宋"/>
          <w:color w:val="000000"/>
          <w:szCs w:val="32"/>
        </w:rPr>
        <w:t>。具体情况如下：</w:t>
      </w:r>
    </w:p>
    <w:p>
      <w:pPr>
        <w:pStyle w:val="7"/>
        <w:spacing w:beforeLines="0" w:line="560" w:lineRule="exact"/>
        <w:jc w:val="center"/>
        <w:rPr>
          <w:rFonts w:ascii="Times New Roman"/>
        </w:rPr>
      </w:pPr>
    </w:p>
    <w:p>
      <w:pPr>
        <w:spacing w:line="560" w:lineRule="exact"/>
        <w:ind w:firstLine="640"/>
        <w:rPr>
          <w:rFonts w:eastAsia="仿宋"/>
          <w:color w:val="000000"/>
          <w:szCs w:val="32"/>
        </w:rPr>
      </w:pPr>
      <w:r>
        <w:rPr>
          <w:rFonts w:hint="eastAsia" w:eastAsia="仿宋"/>
          <w:color w:val="000000"/>
          <w:szCs w:val="32"/>
        </w:rPr>
        <w:t>（图</w:t>
      </w:r>
      <w:r>
        <w:rPr>
          <w:rFonts w:eastAsia="仿宋"/>
          <w:color w:val="000000"/>
          <w:szCs w:val="32"/>
        </w:rPr>
        <w:t>7</w:t>
      </w:r>
      <w:r>
        <w:rPr>
          <w:rFonts w:hint="eastAsia" w:eastAsia="仿宋"/>
          <w:color w:val="000000"/>
          <w:szCs w:val="32"/>
        </w:rPr>
        <w:t>：“三公”经费财政拨款支出结构）（饼状图）</w:t>
      </w:r>
    </w:p>
    <w:p>
      <w:pPr>
        <w:spacing w:line="560" w:lineRule="exact"/>
        <w:ind w:firstLine="640"/>
        <w:rPr>
          <w:b/>
          <w:color w:val="000000"/>
          <w:szCs w:val="32"/>
        </w:rPr>
      </w:pPr>
      <w:r>
        <w:rPr>
          <w:b/>
          <w:color w:val="000000"/>
          <w:szCs w:val="32"/>
        </w:rPr>
        <w:t>1.</w:t>
      </w:r>
      <w:r>
        <w:rPr>
          <w:rFonts w:hint="eastAsia"/>
          <w:b/>
          <w:color w:val="000000"/>
          <w:szCs w:val="32"/>
        </w:rPr>
        <w:t>因公出国（境）经费支出</w:t>
      </w:r>
      <w:r>
        <w:rPr>
          <w:rFonts w:hint="eastAsia"/>
          <w:color w:val="000000"/>
          <w:szCs w:val="32"/>
        </w:rPr>
        <w:t>0万元，</w:t>
      </w:r>
      <w:r>
        <w:rPr>
          <w:rStyle w:val="14"/>
          <w:rFonts w:hint="eastAsia" w:eastAsia="仿宋"/>
          <w:b w:val="0"/>
          <w:bCs/>
          <w:color w:val="000000"/>
          <w:szCs w:val="32"/>
        </w:rPr>
        <w:t>完成预算0</w:t>
      </w:r>
      <w:r>
        <w:rPr>
          <w:rStyle w:val="14"/>
          <w:rFonts w:eastAsia="仿宋"/>
          <w:b w:val="0"/>
          <w:bCs/>
          <w:color w:val="000000"/>
          <w:szCs w:val="32"/>
        </w:rPr>
        <w:t>%</w:t>
      </w:r>
      <w:r>
        <w:rPr>
          <w:rStyle w:val="14"/>
          <w:rFonts w:hint="eastAsia" w:eastAsia="仿宋"/>
          <w:b w:val="0"/>
          <w:bCs/>
          <w:color w:val="000000"/>
          <w:szCs w:val="32"/>
        </w:rPr>
        <w:t>。</w:t>
      </w:r>
      <w:r>
        <w:rPr>
          <w:rFonts w:hint="eastAsia"/>
          <w:color w:val="000000"/>
          <w:szCs w:val="32"/>
        </w:rPr>
        <w:t>全年安排因公出国（境）团组0次，出国（境）0人。因公出国（境）支出决算与</w:t>
      </w:r>
      <w:r>
        <w:rPr>
          <w:color w:val="000000"/>
          <w:szCs w:val="32"/>
        </w:rPr>
        <w:t>20</w:t>
      </w:r>
      <w:r>
        <w:rPr>
          <w:rFonts w:hint="eastAsia"/>
          <w:color w:val="000000"/>
          <w:szCs w:val="32"/>
        </w:rPr>
        <w:t>20年持平。主要原因是</w:t>
      </w:r>
      <w:r>
        <w:rPr>
          <w:rFonts w:hint="eastAsia" w:eastAsia="仿宋"/>
          <w:color w:val="000000"/>
          <w:szCs w:val="32"/>
        </w:rPr>
        <w:t>无预算安排及支出</w:t>
      </w:r>
      <w:r>
        <w:rPr>
          <w:rFonts w:hint="eastAsia"/>
          <w:color w:val="000000"/>
          <w:szCs w:val="32"/>
        </w:rPr>
        <w:t>。</w:t>
      </w:r>
    </w:p>
    <w:p>
      <w:pPr>
        <w:spacing w:line="560" w:lineRule="exact"/>
        <w:ind w:firstLine="640"/>
        <w:rPr>
          <w:b/>
          <w:color w:val="000000"/>
          <w:szCs w:val="32"/>
        </w:rPr>
      </w:pPr>
      <w:r>
        <w:rPr>
          <w:b/>
          <w:color w:val="000000"/>
          <w:szCs w:val="32"/>
        </w:rPr>
        <w:t>2.</w:t>
      </w:r>
      <w:r>
        <w:rPr>
          <w:rFonts w:hint="eastAsia"/>
          <w:b/>
          <w:color w:val="000000"/>
          <w:szCs w:val="32"/>
        </w:rPr>
        <w:t>公务用车购置及运行维护费支出</w:t>
      </w:r>
      <w:r>
        <w:rPr>
          <w:rFonts w:hint="eastAsia"/>
          <w:color w:val="000000"/>
          <w:szCs w:val="32"/>
        </w:rPr>
        <w:t>2.49万元</w:t>
      </w:r>
      <w:r>
        <w:rPr>
          <w:color w:val="000000"/>
          <w:szCs w:val="32"/>
        </w:rPr>
        <w:t>,</w:t>
      </w:r>
      <w:r>
        <w:rPr>
          <w:rStyle w:val="14"/>
          <w:rFonts w:hint="eastAsia" w:eastAsia="仿宋"/>
          <w:b w:val="0"/>
          <w:bCs/>
          <w:color w:val="000000"/>
          <w:szCs w:val="32"/>
        </w:rPr>
        <w:t>完成预算100</w:t>
      </w:r>
      <w:r>
        <w:rPr>
          <w:rStyle w:val="14"/>
          <w:rFonts w:eastAsia="仿宋"/>
          <w:b w:val="0"/>
          <w:bCs/>
          <w:color w:val="000000"/>
          <w:szCs w:val="32"/>
        </w:rPr>
        <w:t>%</w:t>
      </w:r>
      <w:r>
        <w:rPr>
          <w:rStyle w:val="14"/>
          <w:rFonts w:hint="eastAsia" w:eastAsia="仿宋"/>
          <w:b w:val="0"/>
          <w:bCs/>
          <w:color w:val="000000"/>
          <w:szCs w:val="32"/>
        </w:rPr>
        <w:t>。</w:t>
      </w:r>
      <w:r>
        <w:rPr>
          <w:rFonts w:hint="eastAsia"/>
          <w:color w:val="000000"/>
          <w:szCs w:val="32"/>
        </w:rPr>
        <w:t>公务用车购置及运行维护费支出决算比2020年增加0.78万元，增长45.61</w:t>
      </w:r>
      <w:r>
        <w:rPr>
          <w:color w:val="000000"/>
          <w:szCs w:val="32"/>
        </w:rPr>
        <w:t>%</w:t>
      </w:r>
      <w:r>
        <w:rPr>
          <w:rFonts w:hint="eastAsia"/>
          <w:color w:val="000000"/>
          <w:szCs w:val="32"/>
        </w:rPr>
        <w:t>。主要原因是建党百周年走基层送服务开展活动次数多；为打赢脱贫攻坚战，到联系村（社区、乡镇）推动工作落实参与多；为向上争取项目资金，参与省百年群众教育活动入选节目，外出培训等原因高于上年度；“两纲”十年终期评估涉及面广、点多，协调各单位以及迎检工作等原因；省妇联党史学习教育走进江姐故居、江姐与共产党人的气节风骨研讨会等专题活动。</w:t>
      </w:r>
    </w:p>
    <w:p>
      <w:pPr>
        <w:spacing w:line="560" w:lineRule="exact"/>
        <w:ind w:firstLine="640" w:firstLineChars="200"/>
        <w:rPr>
          <w:b/>
          <w:color w:val="000000"/>
          <w:szCs w:val="32"/>
        </w:rPr>
      </w:pPr>
      <w:r>
        <w:rPr>
          <w:rFonts w:hint="eastAsia"/>
          <w:color w:val="000000"/>
          <w:szCs w:val="32"/>
        </w:rPr>
        <w:t>其中：</w:t>
      </w:r>
      <w:r>
        <w:rPr>
          <w:rFonts w:hint="eastAsia"/>
          <w:b/>
          <w:color w:val="000000"/>
          <w:szCs w:val="32"/>
        </w:rPr>
        <w:t>公务用车购置支出</w:t>
      </w:r>
      <w:r>
        <w:rPr>
          <w:rFonts w:hint="eastAsia"/>
          <w:color w:val="000000"/>
          <w:szCs w:val="32"/>
        </w:rPr>
        <w:t>0万元。全年按规定更新购置公务用车0辆，其中：轿车0辆、金额0万元，越野车0辆、金额0万元，载客汽车0辆、金额0万元。截至</w:t>
      </w:r>
      <w:r>
        <w:rPr>
          <w:color w:val="000000"/>
          <w:szCs w:val="32"/>
        </w:rPr>
        <w:t>202</w:t>
      </w:r>
      <w:r>
        <w:rPr>
          <w:rFonts w:hint="eastAsia"/>
          <w:color w:val="000000"/>
          <w:szCs w:val="32"/>
        </w:rPr>
        <w:t>1年</w:t>
      </w:r>
      <w:r>
        <w:rPr>
          <w:color w:val="000000"/>
          <w:szCs w:val="32"/>
        </w:rPr>
        <w:t>12</w:t>
      </w:r>
      <w:r>
        <w:rPr>
          <w:rFonts w:hint="eastAsia"/>
          <w:color w:val="000000"/>
          <w:szCs w:val="32"/>
        </w:rPr>
        <w:t>月底，单位共有公务用车1辆，其中：轿车1辆、越野车0辆、载客汽车0辆。</w:t>
      </w:r>
    </w:p>
    <w:p>
      <w:pPr>
        <w:spacing w:line="560" w:lineRule="exact"/>
        <w:ind w:firstLine="640"/>
        <w:rPr>
          <w:color w:val="000000"/>
          <w:szCs w:val="32"/>
        </w:rPr>
      </w:pPr>
      <w:r>
        <w:rPr>
          <w:rFonts w:hint="eastAsia"/>
          <w:b/>
          <w:color w:val="000000"/>
          <w:szCs w:val="32"/>
        </w:rPr>
        <w:t>公务用车运行维护费支出</w:t>
      </w:r>
      <w:r>
        <w:rPr>
          <w:rFonts w:hint="eastAsia"/>
          <w:color w:val="000000"/>
          <w:szCs w:val="32"/>
        </w:rPr>
        <w:t>2.49万元。主要用于下基层、省妇联调研等所需的公务用车燃料费、维修费、过路过桥费、保险费等支出。</w:t>
      </w:r>
    </w:p>
    <w:p>
      <w:pPr>
        <w:spacing w:line="560" w:lineRule="exact"/>
        <w:ind w:firstLine="640"/>
        <w:rPr>
          <w:color w:val="000000"/>
          <w:szCs w:val="32"/>
        </w:rPr>
      </w:pPr>
      <w:r>
        <w:rPr>
          <w:b/>
          <w:color w:val="000000"/>
          <w:szCs w:val="32"/>
        </w:rPr>
        <w:t>3.</w:t>
      </w:r>
      <w:r>
        <w:rPr>
          <w:rFonts w:hint="eastAsia"/>
          <w:b/>
          <w:color w:val="000000"/>
          <w:szCs w:val="32"/>
        </w:rPr>
        <w:t>公务接待费支出</w:t>
      </w:r>
      <w:r>
        <w:rPr>
          <w:rFonts w:hint="eastAsia"/>
          <w:color w:val="000000"/>
          <w:szCs w:val="32"/>
        </w:rPr>
        <w:t>0.98万元，</w:t>
      </w:r>
      <w:r>
        <w:rPr>
          <w:rStyle w:val="14"/>
          <w:rFonts w:hint="eastAsia" w:eastAsia="仿宋"/>
          <w:b w:val="0"/>
          <w:bCs/>
          <w:color w:val="000000"/>
          <w:szCs w:val="32"/>
        </w:rPr>
        <w:t>完成预算100</w:t>
      </w:r>
      <w:r>
        <w:rPr>
          <w:rStyle w:val="14"/>
          <w:rFonts w:eastAsia="仿宋"/>
          <w:b w:val="0"/>
          <w:bCs/>
          <w:color w:val="000000"/>
          <w:szCs w:val="32"/>
        </w:rPr>
        <w:t>%</w:t>
      </w:r>
      <w:r>
        <w:rPr>
          <w:rStyle w:val="14"/>
          <w:rFonts w:hint="eastAsia" w:eastAsia="仿宋"/>
          <w:b w:val="0"/>
          <w:bCs/>
          <w:color w:val="000000"/>
          <w:szCs w:val="32"/>
        </w:rPr>
        <w:t>。</w:t>
      </w:r>
      <w:r>
        <w:rPr>
          <w:rFonts w:hint="eastAsia"/>
          <w:color w:val="000000"/>
          <w:szCs w:val="32"/>
        </w:rPr>
        <w:t>公务接待费支出决算比</w:t>
      </w:r>
      <w:r>
        <w:rPr>
          <w:color w:val="000000"/>
          <w:szCs w:val="32"/>
        </w:rPr>
        <w:t>20</w:t>
      </w:r>
      <w:r>
        <w:rPr>
          <w:rFonts w:hint="eastAsia"/>
          <w:color w:val="000000"/>
          <w:szCs w:val="32"/>
        </w:rPr>
        <w:t>20年增加0.50万元，增长104.17</w:t>
      </w:r>
      <w:r>
        <w:rPr>
          <w:color w:val="000000"/>
          <w:szCs w:val="32"/>
        </w:rPr>
        <w:t>%</w:t>
      </w:r>
      <w:r>
        <w:rPr>
          <w:rFonts w:hint="eastAsia"/>
          <w:color w:val="000000"/>
          <w:szCs w:val="32"/>
        </w:rPr>
        <w:t>。主要原因是省妇联调研次数增加。其中：</w:t>
      </w:r>
    </w:p>
    <w:p>
      <w:pPr>
        <w:spacing w:line="560" w:lineRule="exact"/>
        <w:ind w:firstLine="640"/>
        <w:rPr>
          <w:color w:val="000000"/>
          <w:szCs w:val="32"/>
        </w:rPr>
      </w:pPr>
      <w:r>
        <w:rPr>
          <w:rFonts w:hint="eastAsia" w:eastAsia="仿宋"/>
          <w:b/>
          <w:color w:val="000000"/>
          <w:szCs w:val="32"/>
        </w:rPr>
        <w:t>国内公务接待支出</w:t>
      </w:r>
      <w:r>
        <w:rPr>
          <w:rFonts w:hint="eastAsia" w:eastAsia="仿宋"/>
          <w:color w:val="000000"/>
          <w:szCs w:val="32"/>
        </w:rPr>
        <w:t>0.98</w:t>
      </w:r>
      <w:r>
        <w:rPr>
          <w:rFonts w:hint="eastAsia"/>
          <w:color w:val="000000"/>
          <w:szCs w:val="32"/>
        </w:rPr>
        <w:t>万元，主要用于开展业务活动开支的交通费、住宿费、用餐费等。国内公务接待</w:t>
      </w:r>
      <w:r>
        <w:rPr>
          <w:rFonts w:hint="eastAsia"/>
          <w:szCs w:val="32"/>
        </w:rPr>
        <w:t>7</w:t>
      </w:r>
      <w:r>
        <w:rPr>
          <w:rFonts w:hint="eastAsia"/>
          <w:color w:val="000000"/>
          <w:szCs w:val="32"/>
        </w:rPr>
        <w:t>批次，</w:t>
      </w:r>
      <w:r>
        <w:rPr>
          <w:rFonts w:hint="eastAsia"/>
          <w:szCs w:val="32"/>
        </w:rPr>
        <w:t>63</w:t>
      </w:r>
      <w:r>
        <w:rPr>
          <w:rFonts w:hint="eastAsia"/>
          <w:color w:val="000000"/>
          <w:szCs w:val="32"/>
        </w:rPr>
        <w:t>人次（不包括陪同人员），共计支出0.98万元，具体内容包括：省妇联赴自贡参加家庭教育辩论赛及调研公务接待0.1148万元；省妇联赴自贡开展“四川百年妇运史展”调研采访公务接待0.087万元；“两纲”终期评估检查公务接待0.24万元；开展未成年人保护法宣讲公务接待0.075万元；省妇联党史学习教育调研公务接待0.29万元；省妇联调研公务接待0.09万元；两癌及省妇联居家灵活就业示范基地项目开展绩效评价现场走访公务接待0.081万元。</w:t>
      </w:r>
    </w:p>
    <w:p>
      <w:pPr>
        <w:spacing w:line="560" w:lineRule="exact"/>
        <w:ind w:firstLine="643" w:firstLineChars="200"/>
        <w:rPr>
          <w:rFonts w:eastAsia="黑体"/>
          <w:color w:val="000000"/>
          <w:szCs w:val="32"/>
        </w:rPr>
      </w:pPr>
      <w:r>
        <w:rPr>
          <w:rFonts w:hint="eastAsia" w:eastAsia="仿宋"/>
          <w:b/>
          <w:color w:val="000000"/>
          <w:szCs w:val="32"/>
        </w:rPr>
        <w:t>外事接待支出</w:t>
      </w:r>
      <w:r>
        <w:rPr>
          <w:rFonts w:hint="eastAsia" w:eastAsia="仿宋"/>
          <w:color w:val="000000"/>
          <w:szCs w:val="32"/>
        </w:rPr>
        <w:t>0</w:t>
      </w:r>
      <w:r>
        <w:rPr>
          <w:rFonts w:hint="eastAsia"/>
          <w:color w:val="000000"/>
          <w:szCs w:val="32"/>
        </w:rPr>
        <w:t>万元，外事接待0批次，0人，共计支出0万元。</w:t>
      </w:r>
      <w:bookmarkStart w:id="43" w:name="_Toc15377218"/>
      <w:bookmarkStart w:id="44" w:name="_Toc15396610"/>
    </w:p>
    <w:p>
      <w:pPr>
        <w:spacing w:line="560" w:lineRule="exact"/>
        <w:ind w:firstLine="640"/>
        <w:outlineLvl w:val="1"/>
        <w:rPr>
          <w:rStyle w:val="17"/>
          <w:rFonts w:ascii="Times New Roman" w:hAnsi="Times New Roman" w:eastAsia="黑体"/>
        </w:rPr>
      </w:pPr>
      <w:bookmarkStart w:id="45" w:name="_Toc1328269910"/>
      <w:r>
        <w:rPr>
          <w:rFonts w:hint="eastAsia" w:eastAsia="黑体"/>
          <w:color w:val="000000"/>
          <w:szCs w:val="32"/>
        </w:rPr>
        <w:t>八、</w:t>
      </w:r>
      <w:r>
        <w:rPr>
          <w:rStyle w:val="17"/>
          <w:rFonts w:hint="eastAsia" w:ascii="Times New Roman" w:hAnsi="Times New Roman" w:eastAsia="黑体"/>
          <w:b w:val="0"/>
        </w:rPr>
        <w:t>政府性基金预算支出决算情况说明</w:t>
      </w:r>
      <w:bookmarkEnd w:id="43"/>
      <w:bookmarkEnd w:id="44"/>
      <w:bookmarkEnd w:id="45"/>
    </w:p>
    <w:p>
      <w:pPr>
        <w:spacing w:line="560" w:lineRule="exact"/>
        <w:ind w:firstLine="640"/>
        <w:rPr>
          <w:color w:val="000000"/>
          <w:szCs w:val="32"/>
        </w:rPr>
      </w:pPr>
      <w:r>
        <w:rPr>
          <w:color w:val="000000"/>
          <w:szCs w:val="32"/>
        </w:rPr>
        <w:t>202</w:t>
      </w:r>
      <w:r>
        <w:rPr>
          <w:rFonts w:hint="eastAsia"/>
          <w:color w:val="000000"/>
          <w:szCs w:val="32"/>
        </w:rPr>
        <w:t>1年政府性基金预算拨款支出1万元。</w:t>
      </w:r>
    </w:p>
    <w:p>
      <w:pPr>
        <w:numPr>
          <w:ilvl w:val="0"/>
          <w:numId w:val="1"/>
        </w:numPr>
        <w:spacing w:line="560" w:lineRule="exact"/>
        <w:ind w:firstLine="640"/>
        <w:outlineLvl w:val="1"/>
        <w:rPr>
          <w:rStyle w:val="17"/>
          <w:rFonts w:ascii="Times New Roman" w:hAnsi="Times New Roman" w:eastAsia="黑体"/>
          <w:b w:val="0"/>
        </w:rPr>
      </w:pPr>
      <w:bookmarkStart w:id="46" w:name="_Toc15396611"/>
      <w:bookmarkStart w:id="47" w:name="_Toc735578109"/>
      <w:bookmarkStart w:id="48" w:name="_Toc15377219"/>
      <w:r>
        <w:rPr>
          <w:rStyle w:val="17"/>
          <w:rFonts w:hint="eastAsia" w:ascii="Times New Roman" w:hAnsi="Times New Roman" w:eastAsia="黑体"/>
          <w:b w:val="0"/>
        </w:rPr>
        <w:t>国有资本经营预算支出决算情况说明</w:t>
      </w:r>
      <w:bookmarkEnd w:id="46"/>
      <w:bookmarkEnd w:id="47"/>
      <w:bookmarkEnd w:id="48"/>
    </w:p>
    <w:p>
      <w:pPr>
        <w:spacing w:line="560" w:lineRule="exact"/>
        <w:ind w:firstLine="640"/>
        <w:rPr>
          <w:rFonts w:eastAsia="方正小标宋简体" w:cs="方正小标宋简体"/>
          <w:sz w:val="44"/>
          <w:szCs w:val="44"/>
        </w:rPr>
      </w:pPr>
      <w:r>
        <w:rPr>
          <w:color w:val="000000"/>
          <w:szCs w:val="32"/>
        </w:rPr>
        <w:t>202</w:t>
      </w:r>
      <w:r>
        <w:rPr>
          <w:rFonts w:hint="eastAsia"/>
          <w:color w:val="000000"/>
          <w:szCs w:val="32"/>
        </w:rPr>
        <w:t>1年国有资本经营预算拨款支出0万元。</w:t>
      </w:r>
    </w:p>
    <w:p>
      <w:pPr>
        <w:spacing w:line="560" w:lineRule="exact"/>
        <w:ind w:firstLine="640" w:firstLineChars="200"/>
        <w:outlineLvl w:val="1"/>
        <w:rPr>
          <w:rStyle w:val="17"/>
          <w:rFonts w:ascii="Times New Roman" w:hAnsi="Times New Roman" w:eastAsia="黑体"/>
        </w:rPr>
      </w:pPr>
      <w:bookmarkStart w:id="49" w:name="_Toc2065010324"/>
      <w:bookmarkStart w:id="50" w:name="_Toc15377221"/>
      <w:bookmarkStart w:id="51" w:name="_Toc15396612"/>
      <w:r>
        <w:rPr>
          <w:rFonts w:hint="eastAsia" w:eastAsia="黑体"/>
          <w:color w:val="000000"/>
          <w:szCs w:val="32"/>
        </w:rPr>
        <w:t>十</w:t>
      </w:r>
      <w:r>
        <w:rPr>
          <w:rStyle w:val="17"/>
          <w:rFonts w:hint="eastAsia" w:ascii="Times New Roman" w:hAnsi="Times New Roman" w:eastAsia="黑体"/>
        </w:rPr>
        <w:t>、</w:t>
      </w:r>
      <w:r>
        <w:rPr>
          <w:rStyle w:val="17"/>
          <w:rFonts w:hint="eastAsia" w:ascii="Times New Roman" w:hAnsi="Times New Roman" w:eastAsia="黑体"/>
          <w:b w:val="0"/>
        </w:rPr>
        <w:t>其他重要事项的情况说明</w:t>
      </w:r>
      <w:bookmarkEnd w:id="49"/>
      <w:bookmarkEnd w:id="50"/>
      <w:bookmarkEnd w:id="51"/>
    </w:p>
    <w:p>
      <w:pPr>
        <w:spacing w:line="560" w:lineRule="exact"/>
        <w:ind w:firstLine="643" w:firstLineChars="200"/>
        <w:outlineLvl w:val="2"/>
        <w:rPr>
          <w:rFonts w:eastAsia="仿宋"/>
          <w:color w:val="000000"/>
          <w:szCs w:val="32"/>
        </w:rPr>
      </w:pPr>
      <w:bookmarkStart w:id="52" w:name="_Toc15377222"/>
      <w:r>
        <w:rPr>
          <w:rFonts w:hint="eastAsia" w:eastAsia="仿宋"/>
          <w:b/>
          <w:color w:val="000000"/>
          <w:szCs w:val="32"/>
        </w:rPr>
        <w:t>（一）机关运行经费支出情况</w:t>
      </w:r>
      <w:bookmarkEnd w:id="52"/>
    </w:p>
    <w:p>
      <w:pPr>
        <w:spacing w:line="560" w:lineRule="exact"/>
        <w:ind w:firstLine="640" w:firstLineChars="200"/>
        <w:rPr>
          <w:color w:val="000000"/>
          <w:szCs w:val="32"/>
        </w:rPr>
      </w:pPr>
      <w:r>
        <w:rPr>
          <w:color w:val="000000"/>
          <w:szCs w:val="32"/>
        </w:rPr>
        <w:t>202</w:t>
      </w:r>
      <w:r>
        <w:rPr>
          <w:rFonts w:hint="eastAsia"/>
          <w:color w:val="000000"/>
          <w:szCs w:val="32"/>
        </w:rPr>
        <w:t>1年，</w:t>
      </w:r>
      <w:bookmarkStart w:id="53" w:name="_Hlk82542129"/>
      <w:r>
        <w:rPr>
          <w:rFonts w:hint="eastAsia"/>
          <w:color w:val="000000"/>
          <w:szCs w:val="32"/>
        </w:rPr>
        <w:t>自贡市妇女联合会</w:t>
      </w:r>
      <w:bookmarkEnd w:id="53"/>
      <w:r>
        <w:rPr>
          <w:rFonts w:hint="eastAsia"/>
          <w:color w:val="000000"/>
          <w:szCs w:val="32"/>
        </w:rPr>
        <w:t>机关运行经费支出67.62万元，比</w:t>
      </w:r>
      <w:r>
        <w:rPr>
          <w:color w:val="000000"/>
          <w:szCs w:val="32"/>
        </w:rPr>
        <w:t>20</w:t>
      </w:r>
      <w:r>
        <w:rPr>
          <w:rFonts w:hint="eastAsia"/>
          <w:color w:val="000000"/>
          <w:szCs w:val="32"/>
        </w:rPr>
        <w:t>20年减少10.34万元，下降13.26</w:t>
      </w:r>
      <w:r>
        <w:rPr>
          <w:color w:val="000000"/>
          <w:szCs w:val="32"/>
        </w:rPr>
        <w:t>%</w:t>
      </w:r>
      <w:r>
        <w:rPr>
          <w:rFonts w:hint="eastAsia"/>
          <w:color w:val="000000"/>
          <w:szCs w:val="32"/>
        </w:rPr>
        <w:t>。主要原因是</w:t>
      </w:r>
      <w:r>
        <w:rPr>
          <w:rFonts w:hint="eastAsia"/>
          <w:color w:val="000000"/>
          <w:szCs w:val="32"/>
          <w:lang w:eastAsia="zh-CN"/>
        </w:rPr>
        <w:t>厉行节约</w:t>
      </w:r>
      <w:r>
        <w:rPr>
          <w:rFonts w:hint="eastAsia"/>
          <w:color w:val="000000"/>
          <w:szCs w:val="32"/>
        </w:rPr>
        <w:t>，加强经费支出审核，严格经费支出管理。</w:t>
      </w:r>
    </w:p>
    <w:p>
      <w:pPr>
        <w:autoSpaceDE w:val="0"/>
        <w:autoSpaceDN w:val="0"/>
        <w:adjustRightInd w:val="0"/>
        <w:spacing w:line="560" w:lineRule="exact"/>
        <w:ind w:firstLine="643" w:firstLineChars="200"/>
        <w:jc w:val="left"/>
        <w:outlineLvl w:val="2"/>
        <w:rPr>
          <w:rFonts w:eastAsia="仿宋"/>
          <w:b/>
          <w:color w:val="000000"/>
          <w:szCs w:val="32"/>
        </w:rPr>
      </w:pPr>
      <w:bookmarkStart w:id="54" w:name="_Toc15377223"/>
      <w:r>
        <w:rPr>
          <w:rFonts w:hint="eastAsia" w:eastAsia="仿宋"/>
          <w:b/>
          <w:color w:val="000000"/>
          <w:szCs w:val="32"/>
        </w:rPr>
        <w:t>（二）政府采购支出情况</w:t>
      </w:r>
      <w:bookmarkEnd w:id="54"/>
    </w:p>
    <w:p>
      <w:pPr>
        <w:spacing w:line="560" w:lineRule="exact"/>
        <w:ind w:firstLine="640" w:firstLineChars="200"/>
        <w:rPr>
          <w:color w:val="000000"/>
          <w:szCs w:val="32"/>
        </w:rPr>
      </w:pPr>
      <w:r>
        <w:rPr>
          <w:color w:val="000000"/>
          <w:szCs w:val="32"/>
        </w:rPr>
        <w:t>202</w:t>
      </w:r>
      <w:r>
        <w:rPr>
          <w:rFonts w:hint="eastAsia"/>
          <w:color w:val="000000"/>
          <w:szCs w:val="32"/>
        </w:rPr>
        <w:t>1年，自贡市妇女联合会政府采购支出总额2.49万元，其中：政府采购货物支出0万元、政府采购工程支出0万元、政府采购服务支出2.49万元。主要用于公务用车运行维护。授予中小企业合同金额2.49万元，占政府采购支出总额的100</w:t>
      </w:r>
      <w:r>
        <w:rPr>
          <w:color w:val="000000"/>
          <w:szCs w:val="32"/>
        </w:rPr>
        <w:t>%</w:t>
      </w:r>
      <w:r>
        <w:rPr>
          <w:rFonts w:hint="eastAsia"/>
          <w:color w:val="000000"/>
          <w:szCs w:val="32"/>
        </w:rPr>
        <w:t>，其中：授予小微企业合同金额</w:t>
      </w:r>
      <w:r>
        <w:rPr>
          <w:rFonts w:hint="eastAsia"/>
          <w:szCs w:val="32"/>
        </w:rPr>
        <w:t>0.0769</w:t>
      </w:r>
      <w:r>
        <w:rPr>
          <w:rFonts w:hint="eastAsia"/>
          <w:color w:val="000000"/>
          <w:szCs w:val="32"/>
        </w:rPr>
        <w:t>万元，占政府采购支出总额的</w:t>
      </w:r>
      <w:r>
        <w:rPr>
          <w:rFonts w:hint="eastAsia"/>
          <w:szCs w:val="32"/>
        </w:rPr>
        <w:t>3.1</w:t>
      </w:r>
      <w:r>
        <w:rPr>
          <w:color w:val="000000"/>
          <w:szCs w:val="32"/>
        </w:rPr>
        <w:t>%</w:t>
      </w:r>
      <w:r>
        <w:rPr>
          <w:rFonts w:hint="eastAsia"/>
          <w:color w:val="000000"/>
          <w:szCs w:val="32"/>
        </w:rPr>
        <w:t>。</w:t>
      </w:r>
    </w:p>
    <w:p>
      <w:pPr>
        <w:autoSpaceDE w:val="0"/>
        <w:autoSpaceDN w:val="0"/>
        <w:adjustRightInd w:val="0"/>
        <w:spacing w:line="560" w:lineRule="exact"/>
        <w:ind w:firstLine="643" w:firstLineChars="200"/>
        <w:jc w:val="left"/>
        <w:outlineLvl w:val="2"/>
        <w:rPr>
          <w:rFonts w:eastAsia="仿宋"/>
          <w:b/>
          <w:color w:val="000000"/>
          <w:szCs w:val="32"/>
        </w:rPr>
      </w:pPr>
      <w:bookmarkStart w:id="55" w:name="_Toc15377224"/>
      <w:r>
        <w:rPr>
          <w:rFonts w:hint="eastAsia" w:eastAsia="仿宋"/>
          <w:b/>
          <w:color w:val="000000"/>
          <w:szCs w:val="32"/>
        </w:rPr>
        <w:t>（三）国有资产占有使用情况</w:t>
      </w:r>
      <w:bookmarkEnd w:id="55"/>
    </w:p>
    <w:p>
      <w:pPr>
        <w:autoSpaceDE w:val="0"/>
        <w:autoSpaceDN w:val="0"/>
        <w:adjustRightInd w:val="0"/>
        <w:spacing w:line="560" w:lineRule="exact"/>
        <w:ind w:firstLine="640" w:firstLineChars="200"/>
        <w:jc w:val="left"/>
        <w:rPr>
          <w:rFonts w:eastAsia="仿宋"/>
          <w:b/>
          <w:color w:val="FF0000"/>
          <w:szCs w:val="32"/>
        </w:rPr>
      </w:pPr>
      <w:r>
        <w:rPr>
          <w:rFonts w:hint="eastAsia"/>
          <w:color w:val="000000"/>
          <w:szCs w:val="32"/>
        </w:rPr>
        <w:t>截至</w:t>
      </w:r>
      <w:r>
        <w:rPr>
          <w:color w:val="000000"/>
          <w:szCs w:val="32"/>
        </w:rPr>
        <w:t>202</w:t>
      </w:r>
      <w:r>
        <w:rPr>
          <w:rFonts w:hint="eastAsia"/>
          <w:color w:val="000000"/>
          <w:szCs w:val="32"/>
        </w:rPr>
        <w:t>1年</w:t>
      </w:r>
      <w:r>
        <w:rPr>
          <w:color w:val="000000"/>
          <w:szCs w:val="32"/>
        </w:rPr>
        <w:t>12</w:t>
      </w:r>
      <w:r>
        <w:rPr>
          <w:rFonts w:hint="eastAsia"/>
          <w:color w:val="000000"/>
          <w:szCs w:val="32"/>
        </w:rPr>
        <w:t>月</w:t>
      </w:r>
      <w:r>
        <w:rPr>
          <w:color w:val="000000"/>
          <w:szCs w:val="32"/>
        </w:rPr>
        <w:t>31</w:t>
      </w:r>
      <w:r>
        <w:rPr>
          <w:rFonts w:hint="eastAsia"/>
          <w:color w:val="000000"/>
          <w:szCs w:val="32"/>
        </w:rPr>
        <w:t>日，自贡市妇女联合会共有车辆1辆，其中：主要领导干部用车0辆、机要通信用车0辆、应急保障用车1辆、其他用车0辆。单价</w:t>
      </w:r>
      <w:r>
        <w:rPr>
          <w:color w:val="000000"/>
          <w:szCs w:val="32"/>
        </w:rPr>
        <w:t>50</w:t>
      </w:r>
      <w:r>
        <w:rPr>
          <w:rFonts w:hint="eastAsia"/>
          <w:color w:val="000000"/>
          <w:szCs w:val="32"/>
        </w:rPr>
        <w:t>万元以上通用设备0台（套），单价</w:t>
      </w:r>
      <w:r>
        <w:rPr>
          <w:color w:val="000000"/>
          <w:szCs w:val="32"/>
        </w:rPr>
        <w:t>100</w:t>
      </w:r>
      <w:r>
        <w:rPr>
          <w:rFonts w:hint="eastAsia"/>
          <w:color w:val="000000"/>
          <w:szCs w:val="32"/>
        </w:rPr>
        <w:t>万元以上专用设备0台（套）。</w:t>
      </w:r>
    </w:p>
    <w:p>
      <w:pPr>
        <w:autoSpaceDE w:val="0"/>
        <w:autoSpaceDN w:val="0"/>
        <w:adjustRightInd w:val="0"/>
        <w:spacing w:line="560" w:lineRule="exact"/>
        <w:ind w:firstLine="643" w:firstLineChars="200"/>
        <w:jc w:val="left"/>
        <w:outlineLvl w:val="2"/>
        <w:rPr>
          <w:rFonts w:eastAsia="仿宋"/>
          <w:b/>
          <w:color w:val="000000"/>
          <w:szCs w:val="32"/>
        </w:rPr>
      </w:pPr>
      <w:r>
        <w:rPr>
          <w:rFonts w:hint="eastAsia" w:eastAsia="仿宋"/>
          <w:b/>
          <w:color w:val="000000"/>
          <w:szCs w:val="32"/>
        </w:rPr>
        <w:t>（四）预算绩效管理情况。</w:t>
      </w:r>
    </w:p>
    <w:p>
      <w:pPr>
        <w:spacing w:line="560" w:lineRule="exact"/>
        <w:ind w:firstLine="640" w:firstLineChars="200"/>
        <w:rPr>
          <w:rFonts w:cs="仿宋_GB2312"/>
          <w:szCs w:val="32"/>
        </w:rPr>
      </w:pPr>
      <w:r>
        <w:rPr>
          <w:rFonts w:hint="eastAsia" w:cs="仿宋_GB2312"/>
          <w:szCs w:val="32"/>
        </w:rPr>
        <w:t>根据预算绩效管理要求，自贡市妇女联合会在2021年度预算编制阶段，组织各部室对综合素质再提升行动项目等7个项目开展了预算事前绩效评估，对7个项目编制了绩效目标。预算执行过程中，选取5个项目开展绩效监控，年终执行完毕后，对5个项目开展了绩效自评，2021年预算项目绩效目标自评表见附件（第四部分）。同时，对2021年部门整体开展绩效自评，《2021年自贡市妇女联合会部门整体绩效评价报告》见附件（第四部分）。</w:t>
      </w:r>
    </w:p>
    <w:p>
      <w:pPr>
        <w:widowControl/>
        <w:spacing w:line="560" w:lineRule="exact"/>
        <w:jc w:val="left"/>
        <w:rPr>
          <w:b/>
          <w:color w:val="000000"/>
          <w:szCs w:val="32"/>
        </w:rPr>
      </w:pPr>
      <w:r>
        <w:rPr>
          <w:b/>
          <w:color w:val="000000"/>
          <w:szCs w:val="32"/>
        </w:rPr>
        <w:br w:type="page"/>
      </w:r>
    </w:p>
    <w:p>
      <w:pPr>
        <w:numPr>
          <w:ilvl w:val="0"/>
          <w:numId w:val="2"/>
        </w:numPr>
        <w:spacing w:line="560" w:lineRule="exact"/>
        <w:jc w:val="center"/>
        <w:outlineLvl w:val="0"/>
        <w:rPr>
          <w:rStyle w:val="16"/>
          <w:rFonts w:eastAsia="黑体"/>
          <w:b w:val="0"/>
        </w:rPr>
      </w:pPr>
      <w:bookmarkStart w:id="56" w:name="_Toc729370165"/>
      <w:bookmarkStart w:id="57" w:name="_Toc15377225"/>
      <w:bookmarkStart w:id="58" w:name="_Toc15396613"/>
      <w:r>
        <w:rPr>
          <w:rFonts w:hint="eastAsia" w:eastAsia="黑体"/>
          <w:color w:val="000000"/>
          <w:sz w:val="44"/>
          <w:szCs w:val="44"/>
        </w:rPr>
        <w:t>名</w:t>
      </w:r>
      <w:r>
        <w:rPr>
          <w:rStyle w:val="16"/>
          <w:rFonts w:hint="eastAsia" w:eastAsia="黑体"/>
          <w:b w:val="0"/>
        </w:rPr>
        <w:t>词解释</w:t>
      </w:r>
      <w:bookmarkEnd w:id="56"/>
      <w:bookmarkEnd w:id="57"/>
      <w:bookmarkEnd w:id="58"/>
    </w:p>
    <w:p>
      <w:pPr>
        <w:spacing w:line="560" w:lineRule="exact"/>
        <w:jc w:val="left"/>
        <w:rPr>
          <w:b/>
          <w:color w:val="000000"/>
          <w:sz w:val="44"/>
          <w:szCs w:val="44"/>
        </w:rPr>
      </w:pP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财政拨款收入：指单位从同级财政部门取得的财政预算资金。</w:t>
      </w: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事业收入：指事业单位开展专业业务活动及辅助活动取得的收入。</w:t>
      </w: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经营收入：指事业单位在专业业务活动及其辅助活动之外开展非独立核算经营活动取得的收入。</w:t>
      </w: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其他收入：指单位取得的除上述收入以外的各项收入。</w:t>
      </w:r>
      <w:r>
        <w:rPr>
          <w:rFonts w:ascii="Times New Roman" w:hAnsi="Times New Roman" w:eastAsia="仿宋_GB2312"/>
          <w:sz w:val="32"/>
          <w:szCs w:val="32"/>
        </w:rPr>
        <w:t xml:space="preserve"> </w:t>
      </w: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使用非财政拨款结余：指事业单位使用以前年度积累的非财政拨款结余弥补当年收支差额的金额。</w:t>
      </w:r>
      <w:r>
        <w:rPr>
          <w:rFonts w:ascii="Times New Roman" w:hAnsi="Times New Roman" w:eastAsia="仿宋_GB2312"/>
          <w:sz w:val="32"/>
          <w:szCs w:val="32"/>
        </w:rPr>
        <w:t xml:space="preserve"> </w:t>
      </w: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年初结转和结余：指以前年度尚未完成、结转到本年按有关规定继续使用的资金。</w:t>
      </w:r>
      <w:r>
        <w:rPr>
          <w:rFonts w:ascii="Times New Roman" w:hAnsi="Times New Roman" w:eastAsia="仿宋_GB2312"/>
          <w:sz w:val="32"/>
          <w:szCs w:val="32"/>
        </w:rPr>
        <w:t xml:space="preserve"> </w:t>
      </w: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、年末结转和结余：指单位按有关规定结转到下年或以后年度继续使用的资金。</w:t>
      </w:r>
    </w:p>
    <w:p>
      <w:pPr>
        <w:spacing w:line="560" w:lineRule="exact"/>
        <w:ind w:firstLine="640" w:firstLineChars="200"/>
        <w:rPr>
          <w:rFonts w:cs="仿宋"/>
          <w:color w:val="000000"/>
          <w:kern w:val="0"/>
          <w:szCs w:val="32"/>
        </w:rPr>
      </w:pPr>
      <w:r>
        <w:rPr>
          <w:color w:val="000000"/>
          <w:szCs w:val="32"/>
        </w:rPr>
        <w:t>9.</w:t>
      </w:r>
      <w:r>
        <w:rPr>
          <w:rFonts w:hint="eastAsia" w:cs="仿宋"/>
          <w:bCs/>
          <w:kern w:val="0"/>
          <w:szCs w:val="32"/>
        </w:rPr>
        <w:t>一般公共服务（类）群众团体事务（款）行政运行（项）:指</w:t>
      </w:r>
      <w:r>
        <w:rPr>
          <w:rFonts w:hint="eastAsia"/>
          <w:color w:val="000000"/>
          <w:szCs w:val="32"/>
        </w:rPr>
        <w:t>自贡市妇女联合会</w:t>
      </w:r>
      <w:r>
        <w:rPr>
          <w:rFonts w:hint="eastAsia" w:cs="仿宋"/>
          <w:bCs/>
          <w:kern w:val="0"/>
          <w:szCs w:val="32"/>
        </w:rPr>
        <w:t>用于保障机构正常运行、开展正常工作的基本支出</w:t>
      </w:r>
      <w:r>
        <w:rPr>
          <w:rFonts w:hint="eastAsia" w:cs="仿宋"/>
          <w:color w:val="000000"/>
          <w:kern w:val="0"/>
          <w:szCs w:val="32"/>
        </w:rPr>
        <w:t>。</w:t>
      </w:r>
    </w:p>
    <w:p>
      <w:pPr>
        <w:spacing w:line="560" w:lineRule="exact"/>
        <w:ind w:firstLine="640" w:firstLineChars="200"/>
        <w:rPr>
          <w:rFonts w:cs="仿宋"/>
          <w:color w:val="000000"/>
          <w:kern w:val="0"/>
          <w:szCs w:val="32"/>
        </w:rPr>
      </w:pPr>
      <w:r>
        <w:rPr>
          <w:color w:val="000000"/>
          <w:szCs w:val="32"/>
        </w:rPr>
        <w:t>10.</w:t>
      </w:r>
      <w:r>
        <w:rPr>
          <w:rFonts w:hint="eastAsia" w:cs="仿宋"/>
          <w:bCs/>
          <w:kern w:val="0"/>
          <w:szCs w:val="32"/>
        </w:rPr>
        <w:t>一般公共服务（类）群众团体事务（款）一般行政管理事务（项）: 指市级财政拨付</w:t>
      </w:r>
      <w:r>
        <w:rPr>
          <w:rFonts w:hint="eastAsia"/>
          <w:color w:val="000000"/>
          <w:szCs w:val="32"/>
        </w:rPr>
        <w:t>自贡市妇女联合会</w:t>
      </w:r>
      <w:r>
        <w:rPr>
          <w:rFonts w:hint="eastAsia" w:cs="仿宋"/>
          <w:bCs/>
          <w:kern w:val="0"/>
          <w:szCs w:val="32"/>
        </w:rPr>
        <w:t>未单独设置项级科目的其他项目支出</w:t>
      </w:r>
      <w:r>
        <w:rPr>
          <w:rFonts w:hint="eastAsia" w:cs="仿宋"/>
          <w:color w:val="000000"/>
          <w:kern w:val="0"/>
          <w:szCs w:val="32"/>
        </w:rPr>
        <w:t>。</w:t>
      </w:r>
    </w:p>
    <w:p>
      <w:pPr>
        <w:spacing w:line="560" w:lineRule="exact"/>
        <w:ind w:firstLine="640" w:firstLineChars="200"/>
        <w:rPr>
          <w:color w:val="000000"/>
          <w:szCs w:val="32"/>
        </w:rPr>
      </w:pPr>
      <w:r>
        <w:rPr>
          <w:color w:val="000000"/>
          <w:szCs w:val="32"/>
        </w:rPr>
        <w:t>11.</w:t>
      </w:r>
      <w:r>
        <w:rPr>
          <w:rFonts w:hint="eastAsia" w:cs="仿宋"/>
          <w:bCs/>
          <w:kern w:val="0"/>
          <w:szCs w:val="32"/>
        </w:rPr>
        <w:t>一般公共服务（类）群众团体事务（款）其他群众团体事务支出（项）: 指省级财政拨付</w:t>
      </w:r>
      <w:r>
        <w:rPr>
          <w:rFonts w:hint="eastAsia"/>
          <w:color w:val="000000"/>
          <w:szCs w:val="32"/>
        </w:rPr>
        <w:t>自贡市妇女联合会</w:t>
      </w:r>
      <w:r>
        <w:rPr>
          <w:rFonts w:hint="eastAsia"/>
          <w:szCs w:val="32"/>
        </w:rPr>
        <w:t>其他</w:t>
      </w:r>
      <w:r>
        <w:rPr>
          <w:rFonts w:hint="eastAsia" w:cs="仿宋"/>
          <w:bCs/>
          <w:kern w:val="0"/>
          <w:szCs w:val="32"/>
        </w:rPr>
        <w:t>用于群众团体事务方面的支出</w:t>
      </w:r>
      <w:r>
        <w:rPr>
          <w:rFonts w:hint="eastAsia" w:cs="仿宋"/>
          <w:color w:val="000000"/>
          <w:kern w:val="0"/>
          <w:szCs w:val="32"/>
        </w:rPr>
        <w:t>。</w:t>
      </w:r>
    </w:p>
    <w:p>
      <w:pPr>
        <w:spacing w:line="560" w:lineRule="exact"/>
        <w:ind w:firstLine="640" w:firstLineChars="200"/>
        <w:rPr>
          <w:rFonts w:cs="仿宋"/>
          <w:color w:val="000000"/>
          <w:kern w:val="0"/>
          <w:szCs w:val="32"/>
        </w:rPr>
      </w:pPr>
      <w:r>
        <w:rPr>
          <w:color w:val="000000"/>
          <w:szCs w:val="32"/>
        </w:rPr>
        <w:t>12.</w:t>
      </w:r>
      <w:r>
        <w:rPr>
          <w:rFonts w:hint="eastAsia" w:cs="仿宋"/>
          <w:bCs/>
          <w:kern w:val="0"/>
          <w:szCs w:val="32"/>
        </w:rPr>
        <w:t>社会保障和就业支出（类）行政事业单位养老支出（款）行政单位离退休（项）:指</w:t>
      </w:r>
      <w:r>
        <w:rPr>
          <w:rFonts w:hint="eastAsia"/>
          <w:color w:val="000000"/>
          <w:szCs w:val="32"/>
        </w:rPr>
        <w:t>自贡市妇女联合会离退休人员的支出</w:t>
      </w:r>
      <w:r>
        <w:rPr>
          <w:rFonts w:hint="eastAsia" w:cs="仿宋"/>
          <w:color w:val="000000"/>
          <w:kern w:val="0"/>
          <w:szCs w:val="32"/>
        </w:rPr>
        <w:t>。</w:t>
      </w:r>
    </w:p>
    <w:p>
      <w:pPr>
        <w:spacing w:line="560" w:lineRule="exact"/>
        <w:ind w:firstLine="640" w:firstLineChars="200"/>
        <w:rPr>
          <w:color w:val="000000"/>
          <w:szCs w:val="32"/>
        </w:rPr>
      </w:pPr>
      <w:r>
        <w:rPr>
          <w:color w:val="000000"/>
          <w:szCs w:val="32"/>
        </w:rPr>
        <w:t>13.</w:t>
      </w:r>
      <w:r>
        <w:rPr>
          <w:rFonts w:hint="eastAsia" w:cs="仿宋"/>
          <w:bCs/>
          <w:kern w:val="0"/>
          <w:szCs w:val="32"/>
        </w:rPr>
        <w:t>社会保障和就业支出（类）行政事业单位养老支出（款）机关事业单位基本养老保险缴费支出（项）:指部门实施养老保险制度由单位缴纳的养老保险费的支出</w:t>
      </w:r>
      <w:r>
        <w:rPr>
          <w:rFonts w:hint="eastAsia" w:cs="仿宋"/>
          <w:color w:val="000000"/>
          <w:kern w:val="0"/>
          <w:szCs w:val="32"/>
        </w:rPr>
        <w:t>。</w:t>
      </w:r>
    </w:p>
    <w:p>
      <w:pPr>
        <w:spacing w:line="560" w:lineRule="exact"/>
        <w:ind w:firstLine="640" w:firstLineChars="200"/>
        <w:rPr>
          <w:color w:val="000000"/>
          <w:szCs w:val="32"/>
        </w:rPr>
      </w:pPr>
      <w:r>
        <w:rPr>
          <w:color w:val="000000"/>
          <w:szCs w:val="32"/>
        </w:rPr>
        <w:t>14.</w:t>
      </w:r>
      <w:r>
        <w:rPr>
          <w:rFonts w:hint="eastAsia" w:cs="仿宋"/>
          <w:bCs/>
          <w:kern w:val="0"/>
          <w:szCs w:val="32"/>
        </w:rPr>
        <w:t>社会保障和就业支出（类）抚恤（款）死亡抚恤（项）:指部门按规定用于病故人员家属的一次性抚恤金及丧葬补助费</w:t>
      </w:r>
      <w:r>
        <w:rPr>
          <w:rFonts w:hint="eastAsia" w:cs="仿宋"/>
          <w:color w:val="000000"/>
          <w:kern w:val="0"/>
          <w:szCs w:val="32"/>
        </w:rPr>
        <w:t>。</w:t>
      </w:r>
    </w:p>
    <w:p>
      <w:pPr>
        <w:spacing w:line="560" w:lineRule="exact"/>
        <w:ind w:firstLine="640" w:firstLineChars="200"/>
        <w:rPr>
          <w:color w:val="000000"/>
          <w:szCs w:val="32"/>
        </w:rPr>
      </w:pPr>
      <w:r>
        <w:rPr>
          <w:color w:val="000000"/>
          <w:szCs w:val="32"/>
        </w:rPr>
        <w:t>15.</w:t>
      </w:r>
      <w:r>
        <w:rPr>
          <w:rFonts w:hint="eastAsia"/>
          <w:color w:val="000000"/>
          <w:szCs w:val="32"/>
        </w:rPr>
        <w:t>卫生健康支出（类）公共卫生（款）重大公共卫生服务（项）：指用于新冠疫情防控的支出。</w:t>
      </w:r>
    </w:p>
    <w:p>
      <w:pPr>
        <w:spacing w:line="560" w:lineRule="exact"/>
        <w:ind w:firstLine="645"/>
        <w:rPr>
          <w:color w:val="000000"/>
          <w:szCs w:val="32"/>
        </w:rPr>
      </w:pPr>
      <w:r>
        <w:rPr>
          <w:color w:val="000000"/>
          <w:szCs w:val="32"/>
        </w:rPr>
        <w:t>16.</w:t>
      </w:r>
      <w:r>
        <w:rPr>
          <w:rFonts w:hint="eastAsia"/>
          <w:color w:val="000000"/>
          <w:szCs w:val="32"/>
        </w:rPr>
        <w:t>卫生健康支出（类）行政事业单位医疗（款）行政单位医疗（项）：指</w:t>
      </w:r>
      <w:r>
        <w:rPr>
          <w:rFonts w:hint="eastAsia" w:cs="仿宋"/>
          <w:bCs/>
          <w:kern w:val="0"/>
          <w:szCs w:val="32"/>
        </w:rPr>
        <w:t>自贡市妇女联合会用于缴纳单位基本医疗保险支出</w:t>
      </w:r>
      <w:r>
        <w:rPr>
          <w:rFonts w:hint="eastAsia" w:cs="仿宋"/>
          <w:color w:val="000000"/>
          <w:kern w:val="0"/>
          <w:szCs w:val="32"/>
        </w:rPr>
        <w:t>。</w:t>
      </w:r>
    </w:p>
    <w:p>
      <w:pPr>
        <w:spacing w:line="560" w:lineRule="exact"/>
        <w:ind w:firstLine="645"/>
        <w:rPr>
          <w:color w:val="000000"/>
          <w:szCs w:val="32"/>
        </w:rPr>
      </w:pPr>
      <w:r>
        <w:rPr>
          <w:color w:val="000000"/>
          <w:szCs w:val="32"/>
        </w:rPr>
        <w:t>17.</w:t>
      </w:r>
      <w:r>
        <w:rPr>
          <w:rFonts w:hint="eastAsia"/>
          <w:color w:val="000000"/>
          <w:szCs w:val="32"/>
        </w:rPr>
        <w:t>城乡社区支出（类）城市基础设施配套费安排的支出（款）其他城市基础设施配套费安排的支出（项）：指其他用于城市基础设施配套费安排的支出。</w:t>
      </w:r>
    </w:p>
    <w:p>
      <w:pPr>
        <w:spacing w:line="560" w:lineRule="exact"/>
        <w:ind w:firstLine="640" w:firstLineChars="200"/>
        <w:rPr>
          <w:rFonts w:cs="仿宋"/>
          <w:color w:val="000000"/>
          <w:kern w:val="0"/>
          <w:szCs w:val="32"/>
        </w:rPr>
      </w:pPr>
      <w:r>
        <w:rPr>
          <w:rFonts w:hint="eastAsia"/>
          <w:color w:val="000000"/>
          <w:szCs w:val="32"/>
        </w:rPr>
        <w:t>18</w:t>
      </w:r>
      <w:r>
        <w:rPr>
          <w:color w:val="000000"/>
          <w:szCs w:val="32"/>
        </w:rPr>
        <w:t>.</w:t>
      </w:r>
      <w:r>
        <w:rPr>
          <w:rFonts w:hint="eastAsia" w:cs="仿宋"/>
          <w:bCs/>
          <w:kern w:val="0"/>
          <w:szCs w:val="32"/>
        </w:rPr>
        <w:t>住房保障支出（类）住房改革支出（款）住房公积金（项）:指按照《住房公积金管理条例》的规定，由单位及其在职职工缴存的长期住房储金。</w:t>
      </w:r>
    </w:p>
    <w:p>
      <w:pPr>
        <w:spacing w:line="560" w:lineRule="exact"/>
        <w:ind w:firstLine="640" w:firstLineChars="200"/>
        <w:rPr>
          <w:color w:val="000000"/>
          <w:szCs w:val="32"/>
        </w:rPr>
      </w:pPr>
      <w:r>
        <w:rPr>
          <w:rFonts w:hint="eastAsia"/>
          <w:color w:val="000000"/>
          <w:szCs w:val="32"/>
        </w:rPr>
        <w:t>19</w:t>
      </w:r>
      <w:r>
        <w:rPr>
          <w:color w:val="000000"/>
          <w:szCs w:val="32"/>
        </w:rPr>
        <w:t>.</w:t>
      </w:r>
      <w:r>
        <w:rPr>
          <w:rFonts w:hint="eastAsia"/>
          <w:color w:val="000000"/>
          <w:szCs w:val="32"/>
        </w:rPr>
        <w:t>基本支出：指为保障机构正常运转、完成日常工作任务而发生的人员支出和公用支出。</w:t>
      </w:r>
    </w:p>
    <w:p>
      <w:pPr>
        <w:spacing w:line="560" w:lineRule="exact"/>
        <w:ind w:firstLine="640" w:firstLineChars="200"/>
        <w:rPr>
          <w:color w:val="000000"/>
          <w:szCs w:val="32"/>
        </w:rPr>
      </w:pPr>
      <w:r>
        <w:rPr>
          <w:rFonts w:hint="eastAsia"/>
          <w:color w:val="000000"/>
          <w:szCs w:val="32"/>
        </w:rPr>
        <w:t>20</w:t>
      </w:r>
      <w:r>
        <w:rPr>
          <w:color w:val="000000"/>
          <w:szCs w:val="32"/>
        </w:rPr>
        <w:t>.</w:t>
      </w:r>
      <w:r>
        <w:rPr>
          <w:rFonts w:hint="eastAsia"/>
          <w:color w:val="000000"/>
          <w:szCs w:val="32"/>
        </w:rPr>
        <w:t>项目支出：指在基本支出之外为完成特定行政任务和事业发展目标所发生的支出。</w:t>
      </w:r>
      <w:r>
        <w:rPr>
          <w:color w:val="000000"/>
          <w:szCs w:val="32"/>
        </w:rPr>
        <w:t xml:space="preserve"> </w:t>
      </w:r>
    </w:p>
    <w:p>
      <w:pPr>
        <w:spacing w:line="560" w:lineRule="exact"/>
        <w:ind w:firstLine="640" w:firstLineChars="200"/>
        <w:rPr>
          <w:color w:val="000000"/>
          <w:szCs w:val="32"/>
        </w:rPr>
      </w:pPr>
      <w:r>
        <w:rPr>
          <w:rFonts w:hint="eastAsia"/>
          <w:color w:val="000000"/>
          <w:szCs w:val="32"/>
        </w:rPr>
        <w:t>21</w:t>
      </w:r>
      <w:r>
        <w:rPr>
          <w:color w:val="000000"/>
          <w:szCs w:val="32"/>
        </w:rPr>
        <w:t>.</w:t>
      </w:r>
      <w:r>
        <w:rPr>
          <w:rFonts w:hint="eastAsia"/>
          <w:color w:val="000000"/>
          <w:szCs w:val="32"/>
        </w:rPr>
        <w:t>经营支出：指事业单位在专业业务活动及其辅助活动之外开展非独立核算经营活动发生的支出。</w:t>
      </w:r>
    </w:p>
    <w:p>
      <w:pPr>
        <w:pStyle w:val="19"/>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22</w:t>
      </w:r>
      <w:r>
        <w:rPr>
          <w:rFonts w:ascii="Times New Roman" w:hAnsi="Times New Roman" w:eastAsia="仿宋_GB2312"/>
          <w:sz w:val="32"/>
          <w:szCs w:val="32"/>
        </w:rPr>
        <w:t>.</w:t>
      </w:r>
      <w:r>
        <w:rPr>
          <w:rFonts w:hint="eastAsia" w:ascii="Times New Roman" w:hAnsi="Times New Roman"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Times New Roman" w:hAnsi="Times New Roman" w:eastAsia="仿宋_GB2312" w:cs="黑体"/>
          <w:sz w:val="32"/>
          <w:szCs w:val="32"/>
        </w:rPr>
      </w:pPr>
      <w:r>
        <w:rPr>
          <w:rFonts w:hint="eastAsia" w:ascii="Times New Roman" w:hAnsi="Times New Roman" w:eastAsia="仿宋_GB2312"/>
          <w:sz w:val="32"/>
          <w:szCs w:val="32"/>
        </w:rPr>
        <w:t>23</w:t>
      </w:r>
      <w:r>
        <w:rPr>
          <w:rFonts w:ascii="Times New Roman" w:hAnsi="Times New Roman" w:eastAsia="仿宋_GB2312"/>
          <w:sz w:val="32"/>
          <w:szCs w:val="32"/>
        </w:rPr>
        <w:t>.</w:t>
      </w:r>
      <w:r>
        <w:rPr>
          <w:rFonts w:hint="eastAsia" w:ascii="Times New Roman" w:hAnsi="Times New Roman"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Style w:val="16"/>
          <w:rFonts w:eastAsia="黑体"/>
          <w:b w:val="0"/>
        </w:rPr>
      </w:pPr>
      <w:bookmarkStart w:id="59" w:name="_Toc15377226"/>
      <w:r>
        <w:rPr>
          <w:b/>
          <w:color w:val="000000"/>
          <w:sz w:val="44"/>
          <w:szCs w:val="44"/>
        </w:rPr>
        <w:br w:type="page"/>
      </w:r>
      <w:bookmarkStart w:id="60" w:name="_Toc15396614"/>
      <w:bookmarkStart w:id="61" w:name="_Toc722360890"/>
      <w:r>
        <w:rPr>
          <w:rFonts w:hint="eastAsia" w:eastAsia="黑体"/>
          <w:color w:val="000000"/>
          <w:sz w:val="44"/>
          <w:szCs w:val="44"/>
        </w:rPr>
        <w:t>第</w:t>
      </w:r>
      <w:r>
        <w:rPr>
          <w:rStyle w:val="16"/>
          <w:rFonts w:hint="eastAsia" w:eastAsia="黑体"/>
          <w:b w:val="0"/>
        </w:rPr>
        <w:t>四部分</w:t>
      </w:r>
      <w:r>
        <w:rPr>
          <w:rStyle w:val="16"/>
          <w:rFonts w:eastAsia="黑体"/>
          <w:b w:val="0"/>
        </w:rPr>
        <w:t xml:space="preserve"> </w:t>
      </w:r>
      <w:r>
        <w:rPr>
          <w:rStyle w:val="16"/>
          <w:rFonts w:hint="eastAsia" w:eastAsia="黑体"/>
          <w:b w:val="0"/>
        </w:rPr>
        <w:t>附件</w:t>
      </w:r>
      <w:bookmarkEnd w:id="60"/>
      <w:bookmarkEnd w:id="61"/>
    </w:p>
    <w:p>
      <w:pPr>
        <w:spacing w:line="560" w:lineRule="exact"/>
        <w:jc w:val="left"/>
        <w:outlineLvl w:val="1"/>
        <w:rPr>
          <w:rFonts w:eastAsia="黑体" w:cs="方正小标宋简体"/>
          <w:sz w:val="44"/>
          <w:szCs w:val="44"/>
        </w:rPr>
      </w:pPr>
      <w:bookmarkStart w:id="62" w:name="_Toc953741183"/>
      <w:r>
        <w:rPr>
          <w:rFonts w:hint="eastAsia" w:eastAsia="黑体" w:cs="黑体"/>
          <w:szCs w:val="32"/>
        </w:rPr>
        <w:t>附件1</w:t>
      </w:r>
      <w:bookmarkEnd w:id="62"/>
    </w:p>
    <w:p>
      <w:pPr>
        <w:spacing w:line="560" w:lineRule="exact"/>
        <w:jc w:val="center"/>
        <w:rPr>
          <w:rFonts w:eastAsia="方正小标宋简体"/>
          <w:spacing w:val="-20"/>
          <w:kern w:val="0"/>
          <w:sz w:val="40"/>
          <w:szCs w:val="44"/>
          <w:lang w:val="zh-CN"/>
        </w:rPr>
      </w:pPr>
      <w:r>
        <w:rPr>
          <w:rFonts w:hint="eastAsia" w:eastAsia="方正小标宋简体"/>
          <w:spacing w:val="-20"/>
          <w:kern w:val="0"/>
          <w:sz w:val="40"/>
          <w:szCs w:val="44"/>
        </w:rPr>
        <w:t>2021年自贡市妇女联合会部门整体绩效评价报告</w:t>
      </w:r>
    </w:p>
    <w:p>
      <w:pPr>
        <w:widowControl/>
        <w:spacing w:line="560" w:lineRule="exact"/>
        <w:ind w:firstLine="640" w:firstLineChars="200"/>
        <w:contextualSpacing/>
        <w:jc w:val="center"/>
        <w:rPr>
          <w:rFonts w:eastAsia="黑体" w:cs="宋体"/>
          <w:kern w:val="0"/>
          <w:sz w:val="24"/>
          <w:szCs w:val="32"/>
          <w:shd w:val="clear" w:color="auto" w:fill="FFFFFF"/>
        </w:rPr>
      </w:pPr>
      <w:r>
        <w:rPr>
          <w:rFonts w:hint="eastAsia"/>
          <w:szCs w:val="32"/>
          <w:shd w:val="clear" w:color="auto" w:fill="FFFFFF"/>
        </w:rPr>
        <w:t xml:space="preserve"> </w:t>
      </w:r>
    </w:p>
    <w:p>
      <w:pPr>
        <w:widowControl/>
        <w:adjustRightInd w:val="0"/>
        <w:snapToGrid w:val="0"/>
        <w:spacing w:line="560" w:lineRule="exact"/>
        <w:ind w:firstLine="640" w:firstLineChars="200"/>
        <w:contextualSpacing/>
        <w:jc w:val="left"/>
        <w:rPr>
          <w:rFonts w:eastAsia="黑体" w:cs="宋体"/>
          <w:kern w:val="0"/>
          <w:szCs w:val="32"/>
          <w:shd w:val="clear" w:color="auto" w:fill="FFFFFF"/>
          <w:lang w:val="zh-CN"/>
        </w:rPr>
      </w:pPr>
      <w:r>
        <w:rPr>
          <w:rFonts w:hint="eastAsia" w:eastAsia="黑体" w:cs="宋体"/>
          <w:kern w:val="0"/>
          <w:szCs w:val="32"/>
          <w:shd w:val="clear" w:color="auto" w:fill="FFFFFF"/>
        </w:rPr>
        <w:t>一、</w:t>
      </w:r>
      <w:r>
        <w:rPr>
          <w:rFonts w:hint="eastAsia" w:eastAsia="黑体" w:cs="宋体"/>
          <w:kern w:val="0"/>
          <w:szCs w:val="32"/>
          <w:shd w:val="clear" w:color="auto" w:fill="FFFFFF"/>
          <w:lang w:val="zh-CN"/>
        </w:rPr>
        <w:t>部门（单位）概况</w:t>
      </w:r>
    </w:p>
    <w:p>
      <w:pPr>
        <w:widowControl/>
        <w:adjustRightInd w:val="0"/>
        <w:snapToGrid w:val="0"/>
        <w:spacing w:line="560" w:lineRule="exact"/>
        <w:ind w:firstLine="720"/>
        <w:jc w:val="left"/>
        <w:rPr>
          <w:rFonts w:cs="宋体"/>
          <w:b/>
          <w:bCs/>
          <w:kern w:val="0"/>
          <w:szCs w:val="32"/>
          <w:shd w:val="clear" w:color="auto" w:fill="FFFFFF"/>
          <w:lang w:val="zh-CN"/>
        </w:rPr>
      </w:pPr>
      <w:r>
        <w:rPr>
          <w:rFonts w:hint="eastAsia" w:cs="宋体"/>
          <w:b/>
          <w:bCs/>
          <w:kern w:val="0"/>
          <w:szCs w:val="32"/>
          <w:shd w:val="clear" w:color="auto" w:fill="FFFFFF"/>
          <w:lang w:val="zh-CN"/>
        </w:rPr>
        <w:t>（一）机构组成。</w:t>
      </w:r>
    </w:p>
    <w:p>
      <w:pPr>
        <w:widowControl/>
        <w:adjustRightInd w:val="0"/>
        <w:snapToGrid w:val="0"/>
        <w:spacing w:line="560" w:lineRule="exact"/>
        <w:ind w:firstLine="720"/>
        <w:jc w:val="left"/>
        <w:rPr>
          <w:rFonts w:cs="宋体"/>
          <w:kern w:val="0"/>
          <w:szCs w:val="32"/>
          <w:shd w:val="clear" w:color="auto" w:fill="FFFFFF"/>
          <w:lang w:val="zh-CN"/>
        </w:rPr>
      </w:pPr>
      <w:r>
        <w:rPr>
          <w:rFonts w:cs="宋体"/>
          <w:kern w:val="0"/>
          <w:szCs w:val="32"/>
          <w:shd w:val="clear" w:color="auto" w:fill="FFFFFF"/>
          <w:lang w:val="zh-CN"/>
        </w:rPr>
        <w:t>自贡市妇联本级工作机构由“两办四部”构成，即办公室、组织联络部、权益宣传部、妇女发展部、家庭儿童工作部和常设机构一个（市政府妇儿工委办与家儿部合署办公）。</w:t>
      </w:r>
    </w:p>
    <w:p>
      <w:pPr>
        <w:widowControl/>
        <w:adjustRightInd w:val="0"/>
        <w:snapToGrid w:val="0"/>
        <w:spacing w:line="560" w:lineRule="exact"/>
        <w:ind w:firstLine="720"/>
        <w:jc w:val="left"/>
        <w:rPr>
          <w:kern w:val="0"/>
          <w:szCs w:val="32"/>
          <w:shd w:val="clear" w:color="auto" w:fill="FFFFFF"/>
          <w:lang w:val="zh-CN"/>
        </w:rPr>
      </w:pPr>
      <w:r>
        <w:rPr>
          <w:rFonts w:eastAsia="楷体_GB2312"/>
          <w:b/>
          <w:kern w:val="0"/>
          <w:szCs w:val="32"/>
          <w:shd w:val="clear" w:color="auto" w:fill="FFFFFF"/>
          <w:lang w:val="zh-CN"/>
        </w:rPr>
        <w:t>（二）机构职能。</w:t>
      </w:r>
      <w:r>
        <w:t>自贡市妇女联合会是中华全国妇女联合会的地方组织，是市委领导下的全市各族各界妇女的群众团体，是党和政府联系妇女群众的桥梁和纽带，是国家政权的重要社会支柱之一</w:t>
      </w:r>
      <w:r>
        <w:rPr>
          <w:kern w:val="0"/>
          <w:szCs w:val="32"/>
          <w:shd w:val="clear" w:color="auto" w:fill="FFFFFF"/>
          <w:lang w:val="zh-CN"/>
        </w:rPr>
        <w:t>，其主要工作任务是：</w:t>
      </w:r>
    </w:p>
    <w:p>
      <w:pPr>
        <w:spacing w:line="560" w:lineRule="exact"/>
        <w:ind w:firstLine="704" w:firstLineChars="220"/>
        <w:rPr>
          <w:kern w:val="0"/>
          <w:szCs w:val="32"/>
          <w:shd w:val="clear" w:color="auto" w:fill="FFFFFF"/>
          <w:lang w:val="zh-CN"/>
        </w:rPr>
      </w:pPr>
      <w:r>
        <w:rPr>
          <w:kern w:val="0"/>
          <w:szCs w:val="32"/>
          <w:shd w:val="clear" w:color="auto" w:fill="FFFFFF"/>
          <w:lang w:val="zh-CN"/>
        </w:rPr>
        <w:t>1.根据党的中心任务，指导各级妇联依据《中华全国妇女联合会章程》和妇女代表大会的决议，开展妇女儿童工作，联系团体会员，并给予业务指导。</w:t>
      </w:r>
    </w:p>
    <w:p>
      <w:pPr>
        <w:spacing w:line="560" w:lineRule="exact"/>
        <w:ind w:firstLine="704" w:firstLineChars="220"/>
        <w:rPr>
          <w:kern w:val="0"/>
          <w:szCs w:val="32"/>
          <w:shd w:val="clear" w:color="auto" w:fill="FFFFFF"/>
          <w:lang w:val="zh-CN"/>
        </w:rPr>
      </w:pPr>
      <w:r>
        <w:rPr>
          <w:kern w:val="0"/>
          <w:szCs w:val="32"/>
          <w:shd w:val="clear" w:color="auto" w:fill="FFFFFF"/>
          <w:lang w:val="zh-CN"/>
        </w:rPr>
        <w:t>2.调查研究我市妇女儿童的情况、问题，及时向市委、市政府反映，并提出建议。</w:t>
      </w:r>
    </w:p>
    <w:p>
      <w:pPr>
        <w:spacing w:line="560" w:lineRule="exact"/>
        <w:ind w:firstLine="704" w:firstLineChars="220"/>
        <w:rPr>
          <w:kern w:val="0"/>
          <w:szCs w:val="32"/>
          <w:shd w:val="clear" w:color="auto" w:fill="FFFFFF"/>
          <w:lang w:val="zh-CN"/>
        </w:rPr>
      </w:pPr>
      <w:r>
        <w:rPr>
          <w:kern w:val="0"/>
          <w:szCs w:val="32"/>
          <w:shd w:val="clear" w:color="auto" w:fill="FFFFFF"/>
          <w:lang w:val="zh-CN"/>
        </w:rPr>
        <w:t>3.组织动员妇女投身改革开放和社会主义现代化建设，指导全市城镇妇女的“巾帼建功”活动。</w:t>
      </w:r>
    </w:p>
    <w:p>
      <w:pPr>
        <w:spacing w:line="560" w:lineRule="exact"/>
      </w:pPr>
      <w:r>
        <w:t xml:space="preserve">    4.指导各级妇联的宣传舆论工作。教育、引导广大妇女增强自尊、自信、自立、自强的精神，表彰各行各业先进妇女；开展多层次妇女干部培训和妇女职业技术培训，全面提高妇女素质，促进妇女人才成长。</w:t>
      </w:r>
    </w:p>
    <w:p>
      <w:pPr>
        <w:spacing w:line="560" w:lineRule="exact"/>
      </w:pPr>
      <w:r>
        <w:t xml:space="preserve">    5.代表妇女参与国家社会事务的民主管理、民主监督，积极向党委推荐优秀妇女干部，促进妇女参政；参与我市有关妇女儿童政策、规定的制定，维护妇女儿童的合法权益。</w:t>
      </w:r>
    </w:p>
    <w:p>
      <w:pPr>
        <w:spacing w:line="560" w:lineRule="exact"/>
      </w:pPr>
      <w:r>
        <w:t xml:space="preserve">    6.为妇女儿童和家庭服务，加强与社会各界的联系，协调和推动社会各界为妇女儿童和家庭办实事、办好事。</w:t>
      </w:r>
    </w:p>
    <w:p>
      <w:pPr>
        <w:spacing w:line="560" w:lineRule="exact"/>
      </w:pPr>
      <w:r>
        <w:t xml:space="preserve">    7.加强与各族各界妇女的联系，巩固妇女的大团结。</w:t>
      </w:r>
    </w:p>
    <w:p>
      <w:pPr>
        <w:spacing w:line="560" w:lineRule="exact"/>
      </w:pPr>
      <w:r>
        <w:t xml:space="preserve">    8.承担市政府妇女儿童工作委员会日常工作。</w:t>
      </w:r>
    </w:p>
    <w:p>
      <w:pPr>
        <w:spacing w:line="560" w:lineRule="exact"/>
      </w:pPr>
      <w:r>
        <w:t xml:space="preserve">    9.承办市委、市政府交办的其他事项。</w:t>
      </w:r>
    </w:p>
    <w:p>
      <w:pPr>
        <w:widowControl/>
        <w:adjustRightInd w:val="0"/>
        <w:snapToGrid w:val="0"/>
        <w:spacing w:line="560" w:lineRule="exact"/>
        <w:ind w:firstLine="643" w:firstLineChars="200"/>
        <w:contextualSpacing/>
        <w:jc w:val="left"/>
      </w:pPr>
      <w:r>
        <w:rPr>
          <w:rFonts w:eastAsia="楷体_GB2312"/>
          <w:b/>
        </w:rPr>
        <w:t>（三）人员概况。</w:t>
      </w:r>
      <w:r>
        <w:t>我会机关现有核定编制数为14名，其中，行政编制13名，工勤岗位控制数1名。202</w:t>
      </w:r>
      <w:r>
        <w:rPr>
          <w:rFonts w:hint="eastAsia"/>
        </w:rPr>
        <w:t>1</w:t>
      </w:r>
      <w:r>
        <w:t>年年末在职人员1</w:t>
      </w:r>
      <w:r>
        <w:rPr>
          <w:rFonts w:hint="eastAsia"/>
        </w:rPr>
        <w:t>2</w:t>
      </w:r>
      <w:r>
        <w:t>人</w:t>
      </w:r>
      <w:r>
        <w:rPr>
          <w:rFonts w:hint="eastAsia"/>
        </w:rPr>
        <w:t>（其中工勤1名）</w:t>
      </w:r>
      <w:r>
        <w:t>，</w:t>
      </w:r>
      <w:r>
        <w:rPr>
          <w:rFonts w:hint="eastAsia"/>
        </w:rPr>
        <w:t>较上年减少1人</w:t>
      </w:r>
      <w:r>
        <w:t>；202</w:t>
      </w:r>
      <w:r>
        <w:rPr>
          <w:rFonts w:hint="eastAsia"/>
        </w:rPr>
        <w:t>1</w:t>
      </w:r>
      <w:r>
        <w:t>年末退休人员</w:t>
      </w:r>
      <w:r>
        <w:rPr>
          <w:rFonts w:hint="eastAsia"/>
        </w:rPr>
        <w:t>25</w:t>
      </w:r>
      <w:r>
        <w:t>人（其中工人2人）。</w:t>
      </w:r>
    </w:p>
    <w:p>
      <w:pPr>
        <w:widowControl/>
        <w:adjustRightInd w:val="0"/>
        <w:snapToGrid w:val="0"/>
        <w:spacing w:line="560" w:lineRule="exact"/>
        <w:ind w:firstLine="640" w:firstLineChars="200"/>
        <w:contextualSpacing/>
        <w:jc w:val="left"/>
        <w:rPr>
          <w:rFonts w:eastAsia="黑体" w:cs="宋体"/>
          <w:kern w:val="0"/>
          <w:szCs w:val="32"/>
          <w:shd w:val="clear" w:color="auto" w:fill="FFFFFF"/>
        </w:rPr>
      </w:pPr>
      <w:r>
        <w:rPr>
          <w:rFonts w:hint="eastAsia" w:eastAsia="黑体" w:cs="宋体"/>
          <w:kern w:val="0"/>
          <w:szCs w:val="32"/>
          <w:shd w:val="clear" w:color="auto" w:fill="FFFFFF"/>
        </w:rPr>
        <w:t>二、部门财政资金收支情况</w:t>
      </w:r>
    </w:p>
    <w:p>
      <w:pPr>
        <w:spacing w:line="560" w:lineRule="exact"/>
        <w:ind w:firstLine="640"/>
      </w:pPr>
      <w:r>
        <w:rPr>
          <w:rFonts w:eastAsia="楷体_GB2312"/>
          <w:b/>
          <w:bCs/>
          <w:kern w:val="0"/>
          <w:szCs w:val="32"/>
          <w:shd w:val="clear" w:color="auto" w:fill="FFFFFF"/>
        </w:rPr>
        <w:t>（一）</w:t>
      </w:r>
      <w:r>
        <w:rPr>
          <w:rFonts w:eastAsia="楷体_GB2312"/>
          <w:b/>
        </w:rPr>
        <w:t>部门财政资金收入情况。</w:t>
      </w:r>
      <w:r>
        <w:rPr>
          <w:szCs w:val="32"/>
        </w:rPr>
        <w:t>202</w:t>
      </w:r>
      <w:r>
        <w:rPr>
          <w:rFonts w:hint="eastAsia"/>
          <w:szCs w:val="32"/>
        </w:rPr>
        <w:t>1</w:t>
      </w:r>
      <w:r>
        <w:rPr>
          <w:szCs w:val="32"/>
        </w:rPr>
        <w:t>年自贡市妇女联合会收入总计</w:t>
      </w:r>
      <w:r>
        <w:rPr>
          <w:rFonts w:hint="eastAsia"/>
          <w:szCs w:val="32"/>
        </w:rPr>
        <w:t>474.44</w:t>
      </w:r>
      <w:r>
        <w:rPr>
          <w:szCs w:val="32"/>
        </w:rPr>
        <w:t>万元，均为一般公共预算财政拨款收入。</w:t>
      </w:r>
    </w:p>
    <w:p>
      <w:pPr>
        <w:widowControl/>
        <w:adjustRightInd w:val="0"/>
        <w:snapToGrid w:val="0"/>
        <w:spacing w:line="560" w:lineRule="exact"/>
        <w:ind w:firstLine="643" w:firstLineChars="200"/>
        <w:contextualSpacing/>
        <w:jc w:val="left"/>
        <w:rPr>
          <w:rFonts w:eastAsia="仿宋"/>
          <w:color w:val="000000"/>
          <w:szCs w:val="32"/>
        </w:rPr>
      </w:pPr>
      <w:r>
        <w:rPr>
          <w:rFonts w:eastAsia="楷体_GB2312"/>
          <w:b/>
          <w:bCs/>
          <w:kern w:val="0"/>
          <w:szCs w:val="32"/>
          <w:shd w:val="clear" w:color="auto" w:fill="FFFFFF"/>
        </w:rPr>
        <w:t>（二）</w:t>
      </w:r>
      <w:r>
        <w:rPr>
          <w:rFonts w:eastAsia="楷体_GB2312"/>
          <w:b/>
        </w:rPr>
        <w:t>部门财政资金支出情况。</w:t>
      </w:r>
      <w:r>
        <w:rPr>
          <w:szCs w:val="32"/>
        </w:rPr>
        <w:t>202</w:t>
      </w:r>
      <w:r>
        <w:rPr>
          <w:rFonts w:hint="eastAsia"/>
          <w:szCs w:val="32"/>
        </w:rPr>
        <w:t>1</w:t>
      </w:r>
      <w:r>
        <w:rPr>
          <w:szCs w:val="32"/>
        </w:rPr>
        <w:t>年自贡市妇女联合会全年支出总计</w:t>
      </w:r>
      <w:r>
        <w:rPr>
          <w:rFonts w:hint="eastAsia"/>
          <w:szCs w:val="32"/>
        </w:rPr>
        <w:t>474.44</w:t>
      </w:r>
      <w:r>
        <w:rPr>
          <w:szCs w:val="32"/>
        </w:rPr>
        <w:t>万元，其中：一般公共服务支出</w:t>
      </w:r>
      <w:r>
        <w:rPr>
          <w:rFonts w:hint="eastAsia"/>
          <w:szCs w:val="32"/>
        </w:rPr>
        <w:t>365.45</w:t>
      </w:r>
      <w:r>
        <w:rPr>
          <w:szCs w:val="32"/>
        </w:rPr>
        <w:t>万元，占7</w:t>
      </w:r>
      <w:r>
        <w:rPr>
          <w:rFonts w:hint="eastAsia"/>
          <w:szCs w:val="32"/>
        </w:rPr>
        <w:t>7</w:t>
      </w:r>
      <w:r>
        <w:rPr>
          <w:szCs w:val="32"/>
        </w:rPr>
        <w:t>.</w:t>
      </w:r>
      <w:r>
        <w:rPr>
          <w:rFonts w:hint="eastAsia"/>
          <w:szCs w:val="32"/>
        </w:rPr>
        <w:t>03</w:t>
      </w:r>
      <w:r>
        <w:rPr>
          <w:szCs w:val="32"/>
        </w:rPr>
        <w:t>%；</w:t>
      </w:r>
      <w:r>
        <w:rPr>
          <w:rFonts w:eastAsia="仿宋"/>
          <w:b/>
          <w:color w:val="000000"/>
          <w:szCs w:val="32"/>
        </w:rPr>
        <w:t>社会保障和就业（类）</w:t>
      </w:r>
      <w:r>
        <w:rPr>
          <w:rFonts w:eastAsia="仿宋"/>
          <w:color w:val="000000"/>
          <w:szCs w:val="32"/>
        </w:rPr>
        <w:t>支出</w:t>
      </w:r>
      <w:r>
        <w:rPr>
          <w:rFonts w:hint="eastAsia" w:eastAsia="仿宋"/>
          <w:color w:val="000000"/>
          <w:szCs w:val="32"/>
        </w:rPr>
        <w:t>79.07</w:t>
      </w:r>
      <w:r>
        <w:rPr>
          <w:rFonts w:eastAsia="仿宋"/>
          <w:color w:val="000000"/>
          <w:szCs w:val="32"/>
        </w:rPr>
        <w:t>万元，占</w:t>
      </w:r>
      <w:r>
        <w:rPr>
          <w:rFonts w:hint="eastAsia" w:eastAsia="仿宋"/>
          <w:color w:val="000000"/>
          <w:szCs w:val="32"/>
        </w:rPr>
        <w:t>16.67</w:t>
      </w:r>
      <w:r>
        <w:rPr>
          <w:rFonts w:eastAsia="仿宋"/>
          <w:color w:val="000000"/>
          <w:szCs w:val="32"/>
        </w:rPr>
        <w:t>%；</w:t>
      </w:r>
      <w:r>
        <w:rPr>
          <w:rFonts w:eastAsia="仿宋"/>
          <w:b/>
          <w:bCs/>
          <w:color w:val="000000"/>
          <w:szCs w:val="32"/>
        </w:rPr>
        <w:t>卫生健康支出</w:t>
      </w:r>
      <w:r>
        <w:rPr>
          <w:rFonts w:hint="eastAsia" w:eastAsia="仿宋"/>
          <w:color w:val="000000"/>
          <w:szCs w:val="32"/>
        </w:rPr>
        <w:t>12.06</w:t>
      </w:r>
      <w:r>
        <w:rPr>
          <w:rFonts w:eastAsia="仿宋"/>
          <w:color w:val="000000"/>
          <w:szCs w:val="32"/>
        </w:rPr>
        <w:t>万元，占</w:t>
      </w:r>
      <w:r>
        <w:rPr>
          <w:rFonts w:hint="eastAsia" w:eastAsia="仿宋"/>
          <w:color w:val="000000"/>
          <w:szCs w:val="32"/>
        </w:rPr>
        <w:t>2.54</w:t>
      </w:r>
      <w:r>
        <w:rPr>
          <w:rFonts w:eastAsia="仿宋"/>
          <w:color w:val="000000"/>
          <w:szCs w:val="32"/>
        </w:rPr>
        <w:t>%；住房保障支出</w:t>
      </w:r>
      <w:r>
        <w:rPr>
          <w:rFonts w:hint="eastAsia" w:eastAsia="仿宋"/>
          <w:color w:val="000000"/>
          <w:szCs w:val="32"/>
        </w:rPr>
        <w:t>16.86</w:t>
      </w:r>
      <w:r>
        <w:rPr>
          <w:rFonts w:eastAsia="仿宋"/>
          <w:color w:val="000000"/>
          <w:szCs w:val="32"/>
        </w:rPr>
        <w:t>万元，占</w:t>
      </w:r>
      <w:r>
        <w:rPr>
          <w:rFonts w:hint="eastAsia" w:eastAsia="仿宋"/>
          <w:color w:val="000000"/>
          <w:szCs w:val="32"/>
        </w:rPr>
        <w:t>3.55</w:t>
      </w:r>
      <w:r>
        <w:rPr>
          <w:rFonts w:eastAsia="仿宋"/>
          <w:color w:val="000000"/>
          <w:szCs w:val="32"/>
        </w:rPr>
        <w:t>%；城乡社区支出1.00万元，占0.2</w:t>
      </w:r>
      <w:r>
        <w:rPr>
          <w:rFonts w:hint="eastAsia" w:eastAsia="仿宋"/>
          <w:color w:val="000000"/>
          <w:szCs w:val="32"/>
        </w:rPr>
        <w:t>1</w:t>
      </w:r>
      <w:r>
        <w:rPr>
          <w:rFonts w:eastAsia="仿宋"/>
          <w:color w:val="000000"/>
          <w:szCs w:val="32"/>
        </w:rPr>
        <w:t>%。</w:t>
      </w:r>
    </w:p>
    <w:p>
      <w:pPr>
        <w:widowControl/>
        <w:adjustRightInd w:val="0"/>
        <w:snapToGrid w:val="0"/>
        <w:spacing w:line="560" w:lineRule="exact"/>
        <w:ind w:firstLine="640" w:firstLineChars="200"/>
        <w:contextualSpacing/>
        <w:jc w:val="left"/>
        <w:rPr>
          <w:rFonts w:eastAsia="黑体" w:cs="宋体"/>
          <w:kern w:val="0"/>
          <w:szCs w:val="32"/>
          <w:shd w:val="clear" w:color="auto" w:fill="FFFFFF"/>
        </w:rPr>
      </w:pPr>
      <w:r>
        <w:rPr>
          <w:rFonts w:hint="eastAsia" w:eastAsia="黑体" w:cs="宋体"/>
          <w:kern w:val="0"/>
          <w:szCs w:val="32"/>
          <w:shd w:val="clear" w:color="auto" w:fill="FFFFFF"/>
        </w:rPr>
        <w:t>三、部门整体预算绩效管理情况</w:t>
      </w:r>
    </w:p>
    <w:p>
      <w:pPr>
        <w:widowControl/>
        <w:adjustRightInd w:val="0"/>
        <w:snapToGrid w:val="0"/>
        <w:spacing w:line="560" w:lineRule="exact"/>
        <w:ind w:firstLine="643" w:firstLineChars="200"/>
        <w:contextualSpacing/>
        <w:jc w:val="left"/>
        <w:rPr>
          <w:kern w:val="0"/>
          <w:szCs w:val="32"/>
          <w:shd w:val="clear" w:color="auto" w:fill="FFFFFF"/>
          <w:lang w:val="zh-CN"/>
        </w:rPr>
      </w:pPr>
      <w:r>
        <w:rPr>
          <w:rFonts w:hint="eastAsia" w:eastAsia="楷体_GB2312" w:cs="楷体_GB2312"/>
          <w:b/>
          <w:bCs/>
          <w:kern w:val="0"/>
          <w:szCs w:val="32"/>
          <w:shd w:val="clear" w:color="auto" w:fill="FFFFFF"/>
          <w:lang w:val="zh-CN"/>
        </w:rPr>
        <w:t>（一）部门预算项目绩效管理。</w:t>
      </w:r>
      <w:r>
        <w:rPr>
          <w:kern w:val="0"/>
          <w:szCs w:val="32"/>
          <w:shd w:val="clear" w:color="auto" w:fill="FFFFFF"/>
          <w:lang w:val="zh-CN"/>
        </w:rPr>
        <w:t>一是绩效管理覆盖全面性。我会将经费支出绩效工作作为全会一项重要内容来抓。每月机关例会上，全会各部门均对经费支出绩效进行梳理并绩效自评，每季度召开财务分析会议，会领导班子听取经费支出绩效完成情况并作下步工作部署。二是绩效管理重点突出性。全会在经费支出中，对项目经费进行重点关注和监测，有效保证项目经费不挪项、不截留，并确保达到预期效果</w:t>
      </w:r>
      <w:r>
        <w:rPr>
          <w:rFonts w:hint="eastAsia"/>
          <w:kern w:val="0"/>
          <w:szCs w:val="32"/>
          <w:shd w:val="clear" w:color="auto" w:fill="FFFFFF"/>
          <w:lang w:val="zh-CN"/>
        </w:rPr>
        <w:t>。</w:t>
      </w:r>
    </w:p>
    <w:p>
      <w:pPr>
        <w:numPr>
          <w:ilvl w:val="0"/>
          <w:numId w:val="3"/>
        </w:numPr>
        <w:pBdr>
          <w:top w:val="single" w:color="FFFFFF" w:sz="4" w:space="0"/>
          <w:left w:val="single" w:color="FFFFFF" w:sz="4" w:space="31"/>
          <w:bottom w:val="single" w:color="FFFFFF" w:sz="4" w:space="31"/>
          <w:right w:val="single" w:color="FFFFFF" w:sz="4" w:space="0"/>
        </w:pBdr>
        <w:spacing w:line="560" w:lineRule="exact"/>
        <w:ind w:firstLine="643" w:firstLineChars="200"/>
        <w:rPr>
          <w:kern w:val="0"/>
          <w:szCs w:val="32"/>
          <w:shd w:val="clear" w:color="auto" w:fill="FFFFFF"/>
          <w:lang w:val="zh-CN"/>
        </w:rPr>
      </w:pPr>
      <w:r>
        <w:rPr>
          <w:rFonts w:hint="eastAsia" w:eastAsia="楷体_GB2312" w:cs="楷体_GB2312"/>
          <w:b/>
          <w:bCs/>
          <w:kern w:val="0"/>
          <w:szCs w:val="32"/>
          <w:shd w:val="clear" w:color="auto" w:fill="FFFFFF"/>
          <w:lang w:val="zh-CN"/>
        </w:rPr>
        <w:t>结果应用情况。</w:t>
      </w:r>
      <w:r>
        <w:rPr>
          <w:kern w:val="0"/>
          <w:szCs w:val="32"/>
          <w:shd w:val="clear" w:color="auto" w:fill="FFFFFF"/>
          <w:lang w:val="zh-CN"/>
        </w:rPr>
        <w:t>为不断提高支出绩效，我会对绩效评价结果进行合理运用。一是实施结果公开。公开的途径有两个：分别是机关职工大会和市妇联执委会。二是纳入对机关业务部室的相关年度目标考核，作为年终评优评先的重要依据</w:t>
      </w:r>
      <w:r>
        <w:rPr>
          <w:rFonts w:hint="eastAsia"/>
          <w:kern w:val="0"/>
          <w:szCs w:val="32"/>
          <w:shd w:val="clear" w:color="auto" w:fill="FFFFFF"/>
          <w:lang w:val="zh-CN"/>
        </w:rPr>
        <w:t>。</w:t>
      </w:r>
    </w:p>
    <w:p>
      <w:pPr>
        <w:numPr>
          <w:ilvl w:val="0"/>
          <w:numId w:val="3"/>
        </w:num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黑体" w:cs="宋体"/>
          <w:kern w:val="0"/>
          <w:szCs w:val="32"/>
          <w:shd w:val="clear" w:color="auto" w:fill="FFFFFF"/>
        </w:rPr>
      </w:pPr>
      <w:r>
        <w:rPr>
          <w:rFonts w:hint="eastAsia" w:eastAsia="楷体_GB2312" w:cs="楷体_GB2312"/>
          <w:b/>
          <w:bCs/>
          <w:kern w:val="0"/>
          <w:szCs w:val="32"/>
          <w:shd w:val="clear" w:color="auto" w:fill="FFFFFF"/>
          <w:lang w:val="zh-CN"/>
        </w:rPr>
        <w:t>自评质量。</w:t>
      </w:r>
      <w:r>
        <w:rPr>
          <w:szCs w:val="32"/>
          <w:shd w:val="clear" w:color="auto" w:fill="FFFFFF"/>
        </w:rPr>
        <w:t>202</w:t>
      </w:r>
      <w:r>
        <w:rPr>
          <w:rFonts w:hint="eastAsia"/>
          <w:szCs w:val="32"/>
          <w:shd w:val="clear" w:color="auto" w:fill="FFFFFF"/>
        </w:rPr>
        <w:t>1</w:t>
      </w:r>
      <w:r>
        <w:rPr>
          <w:szCs w:val="32"/>
          <w:shd w:val="clear" w:color="auto" w:fill="FFFFFF"/>
        </w:rPr>
        <w:t>年度，我会根据市财政局批复的预算金额，合理安排全年度的预算用款计划。在按月上报用款计划时坚持做到用款计划与执行进度相结合，并在 6月、9月、11月以及全年执行进度</w:t>
      </w:r>
      <w:r>
        <w:rPr>
          <w:rFonts w:hint="eastAsia"/>
          <w:szCs w:val="32"/>
          <w:shd w:val="clear" w:color="auto" w:fill="FFFFFF"/>
        </w:rPr>
        <w:t>上</w:t>
      </w:r>
      <w:r>
        <w:rPr>
          <w:szCs w:val="32"/>
          <w:shd w:val="clear" w:color="auto" w:fill="FFFFFF"/>
        </w:rPr>
        <w:t>稳步推进。</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rFonts w:eastAsia="黑体" w:cs="宋体"/>
          <w:kern w:val="0"/>
          <w:szCs w:val="32"/>
          <w:shd w:val="clear" w:color="auto" w:fill="FFFFFF"/>
        </w:rPr>
      </w:pPr>
      <w:r>
        <w:rPr>
          <w:rFonts w:hint="eastAsia" w:eastAsia="黑体" w:cs="宋体"/>
          <w:kern w:val="0"/>
          <w:szCs w:val="32"/>
          <w:shd w:val="clear" w:color="auto" w:fill="FFFFFF"/>
        </w:rPr>
        <w:t>四、评价结论及建议</w:t>
      </w:r>
    </w:p>
    <w:p>
      <w:p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楷体_GB2312"/>
          <w:b/>
          <w:kern w:val="0"/>
          <w:szCs w:val="32"/>
          <w:shd w:val="clear" w:color="auto" w:fill="FFFFFF"/>
          <w:lang w:val="zh-CN"/>
        </w:rPr>
      </w:pPr>
      <w:bookmarkStart w:id="63" w:name="_Toc670961276"/>
      <w:r>
        <w:rPr>
          <w:rFonts w:eastAsia="楷体_GB2312"/>
          <w:b/>
          <w:kern w:val="0"/>
          <w:szCs w:val="32"/>
          <w:shd w:val="clear" w:color="auto" w:fill="FFFFFF"/>
          <w:lang w:val="zh-CN"/>
        </w:rPr>
        <w:t>（一）评价结论</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bCs/>
          <w:szCs w:val="32"/>
        </w:rPr>
      </w:pPr>
      <w:r>
        <w:rPr>
          <w:szCs w:val="32"/>
        </w:rPr>
        <w:t>202</w:t>
      </w:r>
      <w:r>
        <w:rPr>
          <w:rFonts w:hint="eastAsia"/>
          <w:szCs w:val="32"/>
        </w:rPr>
        <w:t>1</w:t>
      </w:r>
      <w:r>
        <w:rPr>
          <w:szCs w:val="32"/>
        </w:rPr>
        <w:t>年，市妇联</w:t>
      </w:r>
      <w:r>
        <w:rPr>
          <w:kern w:val="0"/>
          <w:szCs w:val="32"/>
        </w:rPr>
        <w:t>高举习近平新时代中国特色社会主义思想伟大旗帜，认真贯彻落实中央和省委及市委重大决策部署，积极落实全国妇联、省妇联工作要求，围绕开局“十四五”、开启新征程，围绕立足新发展阶段、贯彻新发展理念、</w:t>
      </w:r>
      <w:r>
        <w:rPr>
          <w:rFonts w:hint="eastAsia"/>
          <w:kern w:val="0"/>
          <w:szCs w:val="32"/>
        </w:rPr>
        <w:t>融入</w:t>
      </w:r>
      <w:r>
        <w:rPr>
          <w:kern w:val="0"/>
          <w:szCs w:val="32"/>
        </w:rPr>
        <w:t>新发展格局，紧扣市委“1743”战略部署，继续坚持市妇联“1136”工作思路，</w:t>
      </w:r>
      <w:r>
        <w:rPr>
          <w:rFonts w:hint="eastAsia"/>
          <w:kern w:val="0"/>
          <w:szCs w:val="32"/>
        </w:rPr>
        <w:t>突出</w:t>
      </w:r>
      <w:r>
        <w:rPr>
          <w:kern w:val="0"/>
          <w:szCs w:val="32"/>
        </w:rPr>
        <w:t>庆祝中国共产党成立100周年，深化党史学习教育，服务自贡高质量发展，履职担当，积极作为，引领广大妇女聚力再造产业自贡、走出转型升级新路、加快建设新时代深化改革扩大开放示范城市贡献巾帼力量</w:t>
      </w:r>
      <w:r>
        <w:rPr>
          <w:rFonts w:hint="eastAsia"/>
          <w:kern w:val="0"/>
          <w:szCs w:val="32"/>
        </w:rPr>
        <w:t>。</w:t>
      </w:r>
    </w:p>
    <w:p>
      <w:pPr>
        <w:numPr>
          <w:ilvl w:val="0"/>
          <w:numId w:val="4"/>
        </w:num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楷体_GB2312"/>
          <w:b/>
          <w:kern w:val="0"/>
          <w:szCs w:val="32"/>
          <w:shd w:val="clear" w:color="auto" w:fill="FFFFFF"/>
          <w:lang w:val="zh-CN"/>
        </w:rPr>
      </w:pPr>
      <w:r>
        <w:rPr>
          <w:rFonts w:eastAsia="楷体_GB2312"/>
          <w:b/>
          <w:kern w:val="0"/>
          <w:szCs w:val="32"/>
          <w:shd w:val="clear" w:color="auto" w:fill="FFFFFF"/>
          <w:lang w:val="zh-CN"/>
        </w:rPr>
        <w:t>存在问题</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rFonts w:cs="仿宋_GB2312"/>
          <w:color w:val="000000"/>
          <w:szCs w:val="32"/>
        </w:rPr>
      </w:pPr>
      <w:r>
        <w:rPr>
          <w:rFonts w:hint="eastAsia" w:cs="仿宋_GB2312"/>
          <w:color w:val="000000"/>
          <w:szCs w:val="32"/>
        </w:rPr>
        <w:t>从市妇联全年财政预算支出执行情况来看，行政运行、离退休费支出、机关事业单位基本养老保险缴费支出、死亡抚恤、行政单位医疗及住房公积金的执行进度均衡，执行管理情况良好。但一般行政管理事务、其他群众团体事务支出的执行进度不均衡，具体原因为因受疫情影响，项目执行和付款进度未跟上工作计划，有延迟现象。</w:t>
      </w:r>
    </w:p>
    <w:p>
      <w:pPr>
        <w:numPr>
          <w:ilvl w:val="0"/>
          <w:numId w:val="4"/>
        </w:num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黑体"/>
        </w:rPr>
      </w:pPr>
      <w:r>
        <w:rPr>
          <w:rFonts w:hint="eastAsia" w:eastAsia="楷体_GB2312" w:cs="楷体_GB2312"/>
          <w:b/>
          <w:bCs/>
          <w:color w:val="000000"/>
          <w:szCs w:val="32"/>
        </w:rPr>
        <w:t>改进意见</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szCs w:val="32"/>
        </w:rPr>
      </w:pPr>
      <w:r>
        <w:rPr>
          <w:szCs w:val="32"/>
        </w:rPr>
        <w:t>一是</w:t>
      </w:r>
      <w:r>
        <w:rPr>
          <w:rFonts w:hint="eastAsia"/>
          <w:szCs w:val="32"/>
        </w:rPr>
        <w:t>进一步</w:t>
      </w:r>
      <w:r>
        <w:rPr>
          <w:szCs w:val="32"/>
        </w:rPr>
        <w:t>组织全会财务人员认真学习《新预算法》等有关的法律法规，严守财经纪律，进一步完善单位的内部管理</w:t>
      </w:r>
      <w:r>
        <w:rPr>
          <w:rFonts w:hint="eastAsia"/>
          <w:szCs w:val="32"/>
        </w:rPr>
        <w:t>，</w:t>
      </w:r>
      <w:r>
        <w:rPr>
          <w:szCs w:val="32"/>
        </w:rPr>
        <w:t>从而促进我会财务管理工作迈上一个新的台阶。二是积极选派财务人员参加会计人员从业资格培训，努力提升财务工作业务水平。</w:t>
      </w:r>
      <w:r>
        <w:rPr>
          <w:rFonts w:hint="eastAsia"/>
          <w:szCs w:val="32"/>
        </w:rPr>
        <w:t>三是进一步提高部门使用资金的绩效管理，更有效的保障我会服务妇女儿童的能力水平。</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szCs w:val="32"/>
        </w:rPr>
      </w:pPr>
    </w:p>
    <w:p>
      <w:pPr>
        <w:pStyle w:val="7"/>
        <w:spacing w:before="131"/>
        <w:rPr>
          <w:rFonts w:ascii="Times New Roman"/>
        </w:rPr>
      </w:pPr>
    </w:p>
    <w:p>
      <w:pPr>
        <w:pBdr>
          <w:top w:val="single" w:color="FFFFFF" w:sz="4" w:space="0"/>
          <w:left w:val="single" w:color="FFFFFF" w:sz="4" w:space="31"/>
          <w:bottom w:val="single" w:color="FFFFFF" w:sz="4" w:space="31"/>
          <w:right w:val="single" w:color="FFFFFF" w:sz="4" w:space="0"/>
        </w:pBdr>
        <w:spacing w:line="560" w:lineRule="exact"/>
        <w:rPr>
          <w:rFonts w:eastAsia="黑体" w:cs="黑体"/>
          <w:lang w:bidi="ar"/>
        </w:rPr>
      </w:pPr>
      <w:r>
        <w:rPr>
          <w:rFonts w:hint="eastAsia" w:eastAsia="黑体" w:cs="黑体"/>
          <w:lang w:bidi="ar"/>
        </w:rPr>
        <w:t>附件2</w:t>
      </w:r>
      <w:bookmarkEnd w:id="63"/>
      <w:r>
        <w:rPr>
          <w:rFonts w:hint="eastAsia" w:eastAsia="黑体" w:cs="黑体"/>
          <w:lang w:bidi="ar"/>
        </w:rPr>
        <w:t xml:space="preserve">    </w:t>
      </w:r>
    </w:p>
    <w:p>
      <w:pPr>
        <w:pStyle w:val="21"/>
        <w:spacing w:line="580" w:lineRule="exact"/>
        <w:ind w:firstLine="883"/>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w:t>
      </w:r>
      <w:r>
        <w:rPr>
          <w:rFonts w:cs="仿宋_GB2312"/>
          <w:lang w:bidi="ar"/>
        </w:rPr>
        <w:t>妇儿工委</w:t>
      </w:r>
      <w:r>
        <w:rPr>
          <w:rFonts w:hint="eastAsia" w:cs="仿宋_GB2312"/>
          <w:lang w:bidi="ar"/>
        </w:rPr>
        <w:t>）</w:t>
      </w:r>
    </w:p>
    <w:p>
      <w:pPr>
        <w:adjustRightInd w:val="0"/>
        <w:snapToGrid w:val="0"/>
        <w:spacing w:line="580" w:lineRule="exact"/>
        <w:ind w:firstLine="720"/>
        <w:rPr>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20</w:t>
      </w:r>
      <w:r>
        <w:rPr>
          <w:rFonts w:hint="eastAsia" w:cs="仿宋_GB2312"/>
          <w:lang w:val="zh-CN" w:bidi="ar"/>
        </w:rPr>
        <w:t>万元，市财政局批复</w:t>
      </w:r>
      <w:r>
        <w:rPr>
          <w:rFonts w:hint="eastAsia" w:cs="仿宋_GB2312"/>
          <w:lang w:bidi="ar"/>
        </w:rPr>
        <w:t>20</w:t>
      </w:r>
      <w:r>
        <w:rPr>
          <w:rFonts w:hint="eastAsia" w:cs="仿宋_GB2312"/>
          <w:lang w:val="zh-CN" w:bidi="ar"/>
        </w:rPr>
        <w:t>万元，符合一般财政资金管理办法。</w:t>
      </w:r>
    </w:p>
    <w:p>
      <w:pPr>
        <w:adjustRightInd w:val="0"/>
        <w:snapToGrid w:val="0"/>
        <w:spacing w:line="580" w:lineRule="exact"/>
        <w:ind w:firstLine="720"/>
        <w:rPr>
          <w:lang w:val="zh-CN"/>
        </w:rPr>
      </w:pPr>
      <w:r>
        <w:rPr>
          <w:rFonts w:hint="eastAsia" w:eastAsia="楷体_GB2312" w:cs="楷体_GB2312"/>
          <w:bCs/>
          <w:lang w:val="zh-CN" w:bidi="ar"/>
        </w:rPr>
        <w:t>（二）项目绩效目标。</w:t>
      </w:r>
      <w:r>
        <w:rPr>
          <w:rFonts w:cs="仿宋_GB2312"/>
          <w:lang w:val="zh-CN" w:bidi="ar"/>
        </w:rPr>
        <w:t>提升妇女儿童生存发展水平，进行两纲攻坚，抓住春节、六一、元旦等重要节点，慰问、帮扶困难儿童不少于200名。</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80" w:lineRule="exact"/>
        <w:ind w:firstLine="640" w:firstLineChars="200"/>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20</w:t>
      </w:r>
      <w:r>
        <w:rPr>
          <w:rFonts w:hint="eastAsia" w:cs="仿宋_GB2312"/>
          <w:lang w:val="zh-CN" w:bidi="ar"/>
        </w:rPr>
        <w:t>万元，实际到位市本级财政资金</w:t>
      </w:r>
      <w:r>
        <w:rPr>
          <w:rFonts w:hint="eastAsia" w:cs="仿宋_GB2312"/>
          <w:lang w:bidi="ar"/>
        </w:rPr>
        <w:t>20</w:t>
      </w:r>
      <w:r>
        <w:rPr>
          <w:rFonts w:hint="eastAsia" w:cs="仿宋_GB2312"/>
          <w:lang w:val="zh-CN" w:bidi="ar"/>
        </w:rPr>
        <w:t>万元。资金到位率100%，资金严格按照项目实施进度及时到位。。</w:t>
      </w:r>
    </w:p>
    <w:p>
      <w:pPr>
        <w:ind w:firstLine="640" w:firstLineChars="200"/>
        <w:rPr>
          <w:lang w:val="zh-CN"/>
        </w:rPr>
      </w:pPr>
      <w:r>
        <w:rPr>
          <w:rFonts w:eastAsia="楷体_GB2312"/>
          <w:lang w:val="zh-CN" w:bidi="ar"/>
        </w:rPr>
        <w:t>2</w:t>
      </w:r>
      <w:r>
        <w:rPr>
          <w:rFonts w:hint="eastAsia" w:eastAsia="楷体_GB2312" w:cs="楷体_GB2312"/>
          <w:lang w:val="zh-CN" w:bidi="ar"/>
        </w:rPr>
        <w:t>．资金使用。</w:t>
      </w:r>
      <w:r>
        <w:rPr>
          <w:rFonts w:hint="eastAsia" w:cs="仿宋_GB2312"/>
          <w:lang w:val="zh-CN" w:bidi="ar"/>
        </w:rPr>
        <w:t>截止评价时点项目资金实际支出</w:t>
      </w:r>
      <w:r>
        <w:rPr>
          <w:rFonts w:hint="eastAsia" w:cs="仿宋_GB2312"/>
          <w:lang w:bidi="ar"/>
        </w:rPr>
        <w:t>19.56</w:t>
      </w:r>
      <w:r>
        <w:rPr>
          <w:rFonts w:hint="eastAsia" w:cs="仿宋_GB2312"/>
          <w:lang w:val="zh-CN" w:bidi="ar"/>
        </w:rPr>
        <w:t>万元，用于重要节点慰问困难儿童、打造示范儿童之家等支出</w:t>
      </w:r>
      <w:r>
        <w:rPr>
          <w:rFonts w:hint="eastAsia" w:cs="仿宋_GB2312"/>
          <w:szCs w:val="32"/>
        </w:rPr>
        <w:t>，</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60" w:lineRule="exact"/>
        <w:ind w:firstLine="720"/>
        <w:rPr>
          <w:lang w:val="zh-CN"/>
        </w:rPr>
      </w:pPr>
      <w:r>
        <w:rPr>
          <w:rFonts w:hint="eastAsia" w:cs="仿宋_GB2312"/>
          <w:lang w:val="zh-CN" w:bidi="ar"/>
        </w:rPr>
        <w:t>该项目由家儿部（妇儿工委办）统一管理，严格按照财务管理等相关制度进行申报、审批，由相关机构、人员进行监督，确保资金的合理规范使用和项目绩效目标的圆满完成。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lang w:val="zh-CN" w:bidi="ar"/>
        </w:rPr>
        <w:t>积极协调市妇儿工委成员单位积极完成两纲目标任务，并于</w:t>
      </w:r>
      <w:r>
        <w:rPr>
          <w:rFonts w:hint="eastAsia" w:cs="仿宋_GB2312"/>
          <w:lang w:bidi="ar"/>
        </w:rPr>
        <w:t>2021年</w:t>
      </w:r>
      <w:r>
        <w:rPr>
          <w:rFonts w:hint="eastAsia" w:cs="仿宋_GB2312"/>
          <w:lang w:val="zh-CN" w:bidi="ar"/>
        </w:rPr>
        <w:t>4月21日—22日接受了《四川妇女发展纲要（2011-2020年）》《四川儿童发展纲要（2011-2020年）》（以下简称“两纲”）终期评估第五检查组对我市“两纲”工作开展情况的评估检查；开展关爱外出务工妇女“回家行动”、贫困妇女“两癌”救助、春蕾计划结对助学等扶贫项目，整合各类资金</w:t>
      </w:r>
      <w:r>
        <w:rPr>
          <w:rFonts w:hint="eastAsia" w:cs="仿宋_GB2312"/>
          <w:lang w:bidi="ar"/>
        </w:rPr>
        <w:t>400</w:t>
      </w:r>
      <w:r>
        <w:rPr>
          <w:rFonts w:hint="eastAsia" w:cs="仿宋_GB2312"/>
          <w:lang w:val="zh-CN" w:bidi="ar"/>
        </w:rPr>
        <w:t>万余元，慰问留守妇女、困难儿童、女农民工等2</w:t>
      </w:r>
      <w:r>
        <w:rPr>
          <w:rFonts w:hint="eastAsia" w:cs="仿宋_GB2312"/>
          <w:lang w:bidi="ar"/>
        </w:rPr>
        <w:t>2</w:t>
      </w:r>
      <w:r>
        <w:rPr>
          <w:rFonts w:hint="eastAsia" w:cs="仿宋_GB2312"/>
          <w:lang w:val="zh-CN" w:bidi="ar"/>
        </w:rPr>
        <w:t>00余人。</w:t>
      </w:r>
    </w:p>
    <w:p>
      <w:pPr>
        <w:adjustRightInd w:val="0"/>
        <w:snapToGrid w:val="0"/>
        <w:spacing w:line="580" w:lineRule="exact"/>
        <w:ind w:firstLine="720"/>
        <w:rPr>
          <w:rFonts w:eastAsia="楷体_GB2312"/>
          <w:b/>
          <w:lang w:val="zh-CN"/>
        </w:rPr>
      </w:pPr>
      <w:r>
        <w:rPr>
          <w:rFonts w:hint="eastAsia" w:eastAsia="楷体_GB2312" w:cs="楷体_GB2312"/>
          <w:bCs/>
          <w:lang w:val="zh-CN" w:bidi="ar"/>
        </w:rPr>
        <w:t>（二）项目效益情况。</w:t>
      </w:r>
    </w:p>
    <w:p>
      <w:pPr>
        <w:adjustRightInd w:val="0"/>
        <w:snapToGrid w:val="0"/>
        <w:spacing w:line="580" w:lineRule="exact"/>
        <w:ind w:firstLine="720"/>
        <w:rPr>
          <w:rFonts w:cs="仿宋_GB2312"/>
          <w:lang w:val="zh-CN" w:bidi="ar"/>
        </w:rPr>
      </w:pPr>
      <w:r>
        <w:rPr>
          <w:rFonts w:hint="eastAsia" w:cs="仿宋_GB2312"/>
          <w:lang w:bidi="ar"/>
        </w:rPr>
        <w:t>1.积极作为，主动承担责任</w:t>
      </w:r>
    </w:p>
    <w:p>
      <w:pPr>
        <w:adjustRightInd w:val="0"/>
        <w:snapToGrid w:val="0"/>
        <w:spacing w:line="580" w:lineRule="exact"/>
        <w:ind w:firstLine="720"/>
        <w:rPr>
          <w:rFonts w:cs="仿宋_GB2312"/>
          <w:lang w:bidi="ar"/>
        </w:rPr>
      </w:pPr>
      <w:r>
        <w:rPr>
          <w:rFonts w:hint="eastAsia" w:cs="仿宋_GB2312"/>
          <w:lang w:val="zh-CN" w:bidi="ar"/>
        </w:rPr>
        <w:t>市妇儿工委</w:t>
      </w:r>
      <w:r>
        <w:rPr>
          <w:rFonts w:hint="eastAsia" w:cs="仿宋_GB2312"/>
          <w:lang w:bidi="ar"/>
        </w:rPr>
        <w:t>充分发挥统筹协调作用，有效整合各方资源，多方联动推进妇女儿童工作。一是完善工作机制。及时做好全市妇儿工委班子换届和人员调整工作，厘清各级妇儿工委办和成员单位职能职责，有力推动了跨部门的履职合作和资源的整合利用。二是保障工作经费。妇联改革以后，市、县（区）两级严格落实了“一元钱”专项工作经费。三是迎接终期评估。2021年</w:t>
      </w:r>
      <w:r>
        <w:rPr>
          <w:rFonts w:cs="仿宋_GB2312"/>
          <w:lang w:val="zh-CN" w:bidi="ar"/>
        </w:rPr>
        <w:t>4月21日—22日，四川省统计局副局长陈智率《四川妇女发展纲要（2011-2020年）》《四川儿童发展纲要（2011-2020年）》（以下简称“两纲”）终期评估第五检查组一行</w:t>
      </w:r>
      <w:r>
        <w:rPr>
          <w:rFonts w:hint="eastAsia" w:cs="仿宋_GB2312"/>
          <w:lang w:bidi="ar"/>
        </w:rPr>
        <w:t>9</w:t>
      </w:r>
      <w:r>
        <w:rPr>
          <w:rFonts w:cs="仿宋_GB2312"/>
          <w:lang w:val="zh-CN" w:bidi="ar"/>
        </w:rPr>
        <w:t>人莅临自贡，对我市“两纲”工作开展情况进行评估检查。</w:t>
      </w:r>
      <w:r>
        <w:rPr>
          <w:rFonts w:hint="eastAsia" w:cs="仿宋_GB2312"/>
          <w:lang w:val="zh-CN" w:bidi="ar"/>
        </w:rPr>
        <w:t>在市委市政府的坚强领导下、在各个成员单位的大力配合下，我市顺利迎接了本次“两纲”终期评估检查，得到了检查组“五个好”的高度评价。</w:t>
      </w:r>
    </w:p>
    <w:p>
      <w:pPr>
        <w:adjustRightInd w:val="0"/>
        <w:snapToGrid w:val="0"/>
        <w:spacing w:line="580" w:lineRule="exact"/>
        <w:ind w:firstLine="640" w:firstLineChars="200"/>
        <w:rPr>
          <w:szCs w:val="32"/>
        </w:rPr>
      </w:pPr>
      <w:r>
        <w:rPr>
          <w:rFonts w:hint="eastAsia"/>
          <w:szCs w:val="32"/>
        </w:rPr>
        <w:t>2.整合资源，关注困难群体。</w:t>
      </w:r>
    </w:p>
    <w:p>
      <w:pPr>
        <w:adjustRightInd w:val="0"/>
        <w:snapToGrid w:val="0"/>
        <w:spacing w:line="580" w:lineRule="exact"/>
        <w:ind w:firstLine="640" w:firstLineChars="200"/>
        <w:rPr>
          <w:rFonts w:eastAsia="黑体" w:cs="黑体"/>
          <w:lang w:bidi="ar"/>
        </w:rPr>
      </w:pPr>
      <w:r>
        <w:rPr>
          <w:rFonts w:hint="eastAsia" w:cs="仿宋_GB2312"/>
          <w:szCs w:val="32"/>
        </w:rPr>
        <w:t>2021年，</w:t>
      </w:r>
      <w:r>
        <w:rPr>
          <w:rFonts w:hint="eastAsia"/>
          <w:szCs w:val="32"/>
        </w:rPr>
        <w:t>市妇联努力为留守妇女、留守儿童办实事、做好事、解难事，切实增强他们的幸福感、获得感和安全感。</w:t>
      </w:r>
      <w:r>
        <w:rPr>
          <w:rFonts w:hint="eastAsia"/>
          <w:b/>
          <w:bCs/>
          <w:szCs w:val="32"/>
        </w:rPr>
        <w:t>一是</w:t>
      </w:r>
      <w:r>
        <w:rPr>
          <w:rFonts w:hint="eastAsia" w:cs="仿宋_GB2312"/>
          <w:szCs w:val="32"/>
        </w:rPr>
        <w:t>为312名“两癌”患病妇女申请到了两癌救助金312万元（其中省级贫困妇女“两癌”救助资金27万元，全国两癌救助金即中央专项彩票公益金285万元）；</w:t>
      </w:r>
      <w:r>
        <w:rPr>
          <w:rFonts w:hint="eastAsia" w:cs="仿宋_GB2312"/>
          <w:b/>
          <w:bCs/>
          <w:szCs w:val="32"/>
        </w:rPr>
        <w:t>二是</w:t>
      </w:r>
      <w:r>
        <w:rPr>
          <w:rFonts w:hint="eastAsia" w:cs="仿宋_GB2312"/>
          <w:szCs w:val="32"/>
        </w:rPr>
        <w:t>开展“春节计划”结对助学活动，为214名困难女童发放助学金17.39万元；</w:t>
      </w:r>
      <w:r>
        <w:rPr>
          <w:rFonts w:hint="eastAsia" w:cs="仿宋_GB2312"/>
          <w:b/>
          <w:bCs/>
          <w:szCs w:val="32"/>
        </w:rPr>
        <w:t>三是</w:t>
      </w:r>
      <w:r>
        <w:rPr>
          <w:rFonts w:hint="eastAsia" w:cs="仿宋_GB2312"/>
          <w:szCs w:val="32"/>
        </w:rPr>
        <w:t>通过春节、六一等特殊节点慰问为1700余名妇女和儿童赠送价值70余万元的慰问物资。</w:t>
      </w:r>
    </w:p>
    <w:p>
      <w:pPr>
        <w:adjustRightInd w:val="0"/>
        <w:snapToGrid w:val="0"/>
        <w:spacing w:line="580" w:lineRule="exact"/>
        <w:ind w:firstLine="720"/>
        <w:rPr>
          <w:rFonts w:eastAsia="黑体"/>
        </w:rPr>
      </w:pPr>
      <w:r>
        <w:rPr>
          <w:rFonts w:hint="eastAsia" w:eastAsia="黑体" w:cs="黑体"/>
          <w:lang w:bidi="ar"/>
        </w:rPr>
        <w:t>四、问题及建议</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（一）存在的问题。</w:t>
      </w:r>
    </w:p>
    <w:p>
      <w:pPr>
        <w:adjustRightInd w:val="0"/>
        <w:snapToGrid w:val="0"/>
        <w:spacing w:line="580" w:lineRule="exact"/>
        <w:ind w:firstLine="720"/>
        <w:rPr>
          <w:szCs w:val="32"/>
          <w:lang w:val="zh-CN"/>
        </w:rPr>
      </w:pPr>
      <w:r>
        <w:rPr>
          <w:rFonts w:hint="eastAsia"/>
          <w:szCs w:val="32"/>
        </w:rPr>
        <w:t>自贡市</w:t>
      </w:r>
      <w:r>
        <w:rPr>
          <w:szCs w:val="32"/>
        </w:rPr>
        <w:t>新一轮(2021-2030年）“两纲”编制</w:t>
      </w:r>
      <w:r>
        <w:rPr>
          <w:rFonts w:hint="eastAsia"/>
          <w:szCs w:val="32"/>
        </w:rPr>
        <w:t>不是市妇儿工委办（市妇联）一个部门的职责，需要广泛宣传，推动全社会共同参与新“两纲”编制。</w:t>
      </w:r>
    </w:p>
    <w:p>
      <w:pPr>
        <w:adjustRightInd w:val="0"/>
        <w:snapToGrid w:val="0"/>
        <w:spacing w:line="580" w:lineRule="exact"/>
        <w:ind w:firstLine="720"/>
        <w:rPr>
          <w:rFonts w:eastAsia="黑体" w:cs="黑体"/>
          <w:lang w:bidi="ar"/>
        </w:rPr>
      </w:pPr>
      <w:r>
        <w:rPr>
          <w:rFonts w:hint="eastAsia" w:eastAsia="楷体_GB2312" w:cs="楷体_GB2312"/>
          <w:bCs/>
          <w:lang w:val="zh-CN" w:bidi="ar"/>
        </w:rPr>
        <w:t>（二）相关建议。</w:t>
      </w:r>
    </w:p>
    <w:p>
      <w:pPr>
        <w:adjustRightInd w:val="0"/>
        <w:snapToGrid w:val="0"/>
        <w:spacing w:line="580" w:lineRule="exact"/>
        <w:ind w:firstLine="640" w:firstLineChars="200"/>
        <w:rPr>
          <w:szCs w:val="32"/>
        </w:rPr>
      </w:pPr>
      <w:r>
        <w:rPr>
          <w:szCs w:val="32"/>
        </w:rPr>
        <w:t>围绕全国、四川省新一轮(2021-2030年）“两纲”编制新内容和新要求，做好新一轮《自贡市妇女发展纲要（2021-2030年）》和《自贡市儿童发展纲要（2021-2030年）》编制的工作。积极联合相关部门，牵头推动做好调查研究、启动、起草、征求意见、评审研讨、送审颁布等各环节工作。</w:t>
      </w:r>
    </w:p>
    <w:p>
      <w:pPr>
        <w:pStyle w:val="2"/>
        <w:spacing w:after="0" w:line="560" w:lineRule="exact"/>
        <w:ind w:left="0" w:leftChars="0" w:firstLine="640"/>
        <w:rPr>
          <w:rFonts w:cs="仿宋_GB2312"/>
          <w:lang w:val="zh-CN" w:bidi="ar"/>
        </w:rPr>
      </w:pPr>
    </w:p>
    <w:p>
      <w:pPr>
        <w:pStyle w:val="4"/>
        <w:rPr>
          <w:rFonts w:cs="仿宋_GB2312"/>
          <w:lang w:val="zh-CN" w:bidi="ar"/>
        </w:rPr>
      </w:pPr>
    </w:p>
    <w:p>
      <w:pPr>
        <w:rPr>
          <w:rFonts w:cs="仿宋_GB2312"/>
          <w:lang w:val="zh-CN" w:bidi="ar"/>
        </w:rPr>
      </w:pPr>
    </w:p>
    <w:p>
      <w:pPr>
        <w:pStyle w:val="7"/>
        <w:spacing w:before="131"/>
        <w:rPr>
          <w:rFonts w:ascii="Times New Roman" w:cs="仿宋_GB2312"/>
          <w:kern w:val="2"/>
          <w:sz w:val="32"/>
          <w:szCs w:val="24"/>
          <w:lang w:val="zh-CN" w:bidi="ar"/>
        </w:rPr>
      </w:pPr>
    </w:p>
    <w:p>
      <w:pPr>
        <w:rPr>
          <w:rFonts w:cs="仿宋_GB2312"/>
          <w:lang w:val="zh-CN" w:bidi="ar"/>
        </w:rPr>
      </w:pPr>
    </w:p>
    <w:p>
      <w:pPr>
        <w:pStyle w:val="7"/>
        <w:spacing w:before="131"/>
        <w:rPr>
          <w:rFonts w:ascii="Times New Roman" w:cs="仿宋_GB2312"/>
          <w:kern w:val="2"/>
          <w:sz w:val="32"/>
          <w:szCs w:val="24"/>
          <w:lang w:val="zh-CN" w:bidi="ar"/>
        </w:rPr>
      </w:pPr>
    </w:p>
    <w:p>
      <w:pPr>
        <w:rPr>
          <w:rFonts w:cs="仿宋_GB2312"/>
          <w:lang w:val="zh-CN" w:bidi="ar"/>
        </w:rPr>
      </w:pPr>
    </w:p>
    <w:p>
      <w:pPr>
        <w:pStyle w:val="7"/>
        <w:spacing w:before="131"/>
        <w:rPr>
          <w:rFonts w:ascii="Times New Roman" w:cs="仿宋_GB2312"/>
          <w:kern w:val="2"/>
          <w:sz w:val="32"/>
          <w:szCs w:val="24"/>
          <w:lang w:val="zh-CN" w:bidi="ar"/>
        </w:rPr>
      </w:pPr>
    </w:p>
    <w:p>
      <w:pPr>
        <w:rPr>
          <w:rFonts w:cs="仿宋_GB2312"/>
          <w:lang w:val="zh-CN" w:bidi="ar"/>
        </w:rPr>
      </w:pPr>
    </w:p>
    <w:p>
      <w:pPr>
        <w:pStyle w:val="7"/>
        <w:spacing w:before="131"/>
        <w:rPr>
          <w:rFonts w:ascii="Times New Roman" w:cs="仿宋_GB2312"/>
          <w:kern w:val="2"/>
          <w:sz w:val="32"/>
          <w:szCs w:val="24"/>
          <w:lang w:val="zh-CN" w:bidi="ar"/>
        </w:rPr>
      </w:pPr>
    </w:p>
    <w:p>
      <w:pPr>
        <w:rPr>
          <w:rFonts w:cs="仿宋_GB2312"/>
          <w:lang w:val="zh-CN" w:bidi="ar"/>
        </w:rPr>
      </w:pPr>
    </w:p>
    <w:p>
      <w:pPr>
        <w:pStyle w:val="7"/>
        <w:spacing w:before="131"/>
        <w:rPr>
          <w:rFonts w:ascii="Times New Roman" w:cs="仿宋_GB2312"/>
          <w:kern w:val="2"/>
          <w:sz w:val="32"/>
          <w:szCs w:val="24"/>
          <w:lang w:val="zh-CN" w:bidi="ar"/>
        </w:rPr>
      </w:pPr>
    </w:p>
    <w:p>
      <w:pPr>
        <w:rPr>
          <w:rFonts w:cs="仿宋_GB2312"/>
          <w:lang w:val="zh-CN" w:bidi="ar"/>
        </w:rPr>
      </w:pPr>
    </w:p>
    <w:p>
      <w:pPr>
        <w:pStyle w:val="7"/>
        <w:spacing w:before="131"/>
        <w:rPr>
          <w:rFonts w:ascii="Times New Roman" w:cs="仿宋_GB2312"/>
          <w:kern w:val="2"/>
          <w:sz w:val="32"/>
          <w:szCs w:val="24"/>
          <w:lang w:val="zh-CN" w:bidi="ar"/>
        </w:rPr>
      </w:pPr>
    </w:p>
    <w:p>
      <w:pPr>
        <w:rPr>
          <w:rFonts w:cs="仿宋_GB2312"/>
          <w:lang w:val="zh-CN" w:bidi="ar"/>
        </w:rPr>
      </w:pPr>
    </w:p>
    <w:p>
      <w:pPr>
        <w:pStyle w:val="7"/>
        <w:spacing w:before="131"/>
        <w:rPr>
          <w:rFonts w:ascii="Times New Roman" w:cs="仿宋_GB2312"/>
          <w:kern w:val="2"/>
          <w:sz w:val="32"/>
          <w:szCs w:val="24"/>
          <w:lang w:val="zh-CN" w:bidi="ar"/>
        </w:rPr>
      </w:pPr>
    </w:p>
    <w:p>
      <w:pPr>
        <w:pStyle w:val="21"/>
        <w:spacing w:line="580" w:lineRule="exact"/>
        <w:ind w:firstLine="883"/>
        <w:jc w:val="center"/>
        <w:rPr>
          <w:rFonts w:ascii="Times New Roman" w:hAnsi="Times New Roman" w:eastAsia="方正小标宋简体" w:cs="方正小标宋简体"/>
          <w:sz w:val="44"/>
          <w:szCs w:val="44"/>
        </w:rPr>
      </w:pPr>
    </w:p>
    <w:p>
      <w:pPr>
        <w:pStyle w:val="21"/>
        <w:spacing w:line="580" w:lineRule="exact"/>
        <w:ind w:firstLine="883"/>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（强基固本项目）</w:t>
      </w:r>
    </w:p>
    <w:p>
      <w:pPr>
        <w:adjustRightInd w:val="0"/>
        <w:snapToGrid w:val="0"/>
        <w:spacing w:line="580" w:lineRule="exact"/>
        <w:ind w:firstLine="720"/>
        <w:rPr>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8</w:t>
      </w:r>
      <w:r>
        <w:rPr>
          <w:rFonts w:hint="eastAsia" w:cs="仿宋_GB2312"/>
          <w:lang w:val="zh-CN" w:bidi="ar"/>
        </w:rPr>
        <w:t>万元，市财政局批复</w:t>
      </w:r>
      <w:r>
        <w:rPr>
          <w:rFonts w:hint="eastAsia" w:cs="仿宋_GB2312"/>
          <w:lang w:bidi="ar"/>
        </w:rPr>
        <w:t>8</w:t>
      </w:r>
      <w:r>
        <w:rPr>
          <w:rFonts w:hint="eastAsia" w:cs="仿宋_GB2312"/>
          <w:lang w:val="zh-CN" w:bidi="ar"/>
        </w:rPr>
        <w:t>万元，符合一般财政资金管理办法。</w:t>
      </w:r>
    </w:p>
    <w:p>
      <w:pPr>
        <w:adjustRightInd w:val="0"/>
        <w:snapToGrid w:val="0"/>
        <w:spacing w:line="580" w:lineRule="exact"/>
        <w:ind w:firstLine="720"/>
        <w:rPr>
          <w:rFonts w:cs="仿宋_GB2312"/>
          <w:lang w:val="zh-CN" w:bidi="ar"/>
        </w:rPr>
      </w:pPr>
      <w:r>
        <w:rPr>
          <w:rFonts w:hint="eastAsia" w:eastAsia="楷体_GB2312" w:cs="楷体_GB2312"/>
          <w:bCs/>
          <w:lang w:val="zh-CN" w:bidi="ar"/>
        </w:rPr>
        <w:t>（二）项目绩效目标。</w:t>
      </w:r>
      <w:r>
        <w:rPr>
          <w:rFonts w:cs="仿宋_GB2312"/>
          <w:lang w:val="zh-CN" w:bidi="ar"/>
        </w:rPr>
        <w:t>通过夯实基础激发新动能、拓展网络构建新形态、创新模式凝聚新力量，纵深推进妇联改革</w:t>
      </w:r>
      <w:r>
        <w:rPr>
          <w:rFonts w:hint="eastAsia" w:cs="仿宋_GB2312"/>
          <w:lang w:val="zh-CN" w:bidi="ar"/>
        </w:rPr>
        <w:t>。</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80" w:lineRule="exact"/>
        <w:ind w:firstLine="720"/>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8</w:t>
      </w:r>
      <w:r>
        <w:rPr>
          <w:rFonts w:hint="eastAsia" w:cs="仿宋_GB2312"/>
          <w:lang w:val="zh-CN" w:bidi="ar"/>
        </w:rPr>
        <w:t>万元，实际到位市本级财政资金</w:t>
      </w:r>
      <w:r>
        <w:rPr>
          <w:rFonts w:hint="eastAsia" w:cs="仿宋_GB2312"/>
          <w:lang w:bidi="ar"/>
        </w:rPr>
        <w:t>8</w:t>
      </w:r>
      <w:r>
        <w:rPr>
          <w:rFonts w:hint="eastAsia" w:cs="仿宋_GB2312"/>
          <w:lang w:val="zh-CN" w:bidi="ar"/>
        </w:rPr>
        <w:t>万元。资金到位率100%，资金严格按照项目实施进度及时到位。</w:t>
      </w:r>
    </w:p>
    <w:p>
      <w:pPr>
        <w:adjustRightInd w:val="0"/>
        <w:snapToGrid w:val="0"/>
        <w:spacing w:line="580" w:lineRule="exact"/>
        <w:ind w:firstLine="720"/>
        <w:rPr>
          <w:rFonts w:cs="仿宋_GB2312"/>
          <w:lang w:val="zh-CN" w:bidi="ar"/>
        </w:rPr>
      </w:pPr>
      <w:r>
        <w:rPr>
          <w:rFonts w:eastAsia="楷体_GB2312"/>
          <w:lang w:val="zh-CN" w:bidi="ar"/>
        </w:rPr>
        <w:t>2</w:t>
      </w:r>
      <w:r>
        <w:rPr>
          <w:rFonts w:hint="eastAsia" w:eastAsia="楷体_GB2312"/>
          <w:lang w:val="zh-CN" w:bidi="ar"/>
        </w:rPr>
        <w:t>．资金使用。</w:t>
      </w:r>
      <w:r>
        <w:rPr>
          <w:rFonts w:hint="eastAsia" w:cs="仿宋_GB2312"/>
          <w:lang w:val="zh-CN" w:bidi="ar"/>
        </w:rPr>
        <w:t>截止评价时点项目资金实际支出</w:t>
      </w:r>
      <w:r>
        <w:rPr>
          <w:rFonts w:hint="eastAsia" w:cs="仿宋_GB2312"/>
          <w:lang w:bidi="ar"/>
        </w:rPr>
        <w:t>7.95万</w:t>
      </w:r>
      <w:r>
        <w:rPr>
          <w:rFonts w:hint="eastAsia" w:cs="仿宋_GB2312"/>
          <w:lang w:val="zh-CN" w:bidi="ar"/>
        </w:rPr>
        <w:t>元，用于举办社会组织参访活动交流、打造示范</w:t>
      </w:r>
      <w:r>
        <w:rPr>
          <w:rFonts w:hint="eastAsia" w:cs="仿宋_GB2312"/>
          <w:lang w:bidi="ar"/>
        </w:rPr>
        <w:t>“妇女微家”、</w:t>
      </w:r>
      <w:r>
        <w:rPr>
          <w:rFonts w:hint="eastAsia" w:cs="仿宋_GB2312"/>
          <w:lang w:val="zh-CN" w:bidi="ar"/>
        </w:rPr>
        <w:t>持续推动幸福使者公益平台建设</w:t>
      </w:r>
      <w:r>
        <w:rPr>
          <w:rFonts w:hint="eastAsia" w:cs="仿宋_GB2312"/>
          <w:lang w:bidi="ar"/>
        </w:rPr>
        <w:t>等工作，</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60" w:lineRule="exact"/>
        <w:ind w:firstLine="720"/>
        <w:rPr>
          <w:lang w:val="zh-CN"/>
        </w:rPr>
      </w:pPr>
      <w:r>
        <w:rPr>
          <w:rFonts w:hint="eastAsia" w:cs="仿宋_GB2312"/>
          <w:lang w:val="zh-CN" w:bidi="ar"/>
        </w:rPr>
        <w:t>该项目由组织联络部统一管理，严格按照财务管理等相关制度进行申报、审批，由相关机构、人员进行监督，确保资金的合理规范使用和项目绩效目标的圆满完成。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lang w:bidi="ar"/>
        </w:rPr>
        <w:t>2021年，市妇联强基固本提升行动项目按照</w:t>
      </w:r>
      <w:r>
        <w:rPr>
          <w:rFonts w:hint="eastAsia" w:cs="仿宋_GB2312"/>
          <w:lang w:val="zh-CN" w:bidi="ar"/>
        </w:rPr>
        <w:t>项目完成数量、质量、时效等计划目标，在规定时间内较好地完成了各项任务，在任务量完成、质量标准、进度计划等方面成效明显。</w:t>
      </w:r>
    </w:p>
    <w:p>
      <w:pPr>
        <w:adjustRightInd w:val="0"/>
        <w:snapToGrid w:val="0"/>
        <w:spacing w:line="580" w:lineRule="exact"/>
        <w:ind w:firstLine="720"/>
        <w:rPr>
          <w:rFonts w:cs="仿宋_GB2312"/>
          <w:bCs/>
          <w:lang w:val="zh-CN" w:bidi="ar"/>
        </w:rPr>
      </w:pPr>
      <w:r>
        <w:rPr>
          <w:rFonts w:hint="eastAsia" w:cs="仿宋_GB2312"/>
          <w:b/>
          <w:lang w:val="zh-CN" w:bidi="ar"/>
        </w:rPr>
        <w:t>一是进一步夯实基础激发新动能。</w:t>
      </w:r>
      <w:r>
        <w:rPr>
          <w:rFonts w:hint="eastAsia" w:cs="仿宋_GB2312"/>
          <w:bCs/>
          <w:lang w:val="zh-CN" w:bidi="ar"/>
        </w:rPr>
        <w:t>紧紧抓住基层换届契机，高质量完成90个乡镇（街道)、983个村（社区）妇联换届工作，配齐配强基层妇联工作“领头雁”3327名，全面实现村(居)委班子中100%有女性、村（社区）妇联主席100%进村(居)“两委”，乡镇（街道）妇联主席100%享受乡镇党政领导副职的政治、生活待遇，1.3万余基层妇联执委实现基层工作“一张网”格局。</w:t>
      </w:r>
    </w:p>
    <w:p>
      <w:pPr>
        <w:adjustRightInd w:val="0"/>
        <w:snapToGrid w:val="0"/>
        <w:spacing w:line="580" w:lineRule="exact"/>
        <w:ind w:firstLine="720"/>
        <w:rPr>
          <w:rFonts w:cs="仿宋_GB2312"/>
          <w:bCs/>
          <w:lang w:val="zh-CN" w:bidi="ar"/>
        </w:rPr>
      </w:pPr>
      <w:r>
        <w:rPr>
          <w:rFonts w:hint="eastAsia" w:cs="仿宋_GB2312"/>
          <w:b/>
          <w:lang w:val="zh-CN" w:bidi="ar"/>
        </w:rPr>
        <w:t>二是进一步拓展网络构建新形态。</w:t>
      </w:r>
      <w:r>
        <w:rPr>
          <w:rFonts w:hint="eastAsia" w:cs="仿宋_GB2312"/>
          <w:bCs/>
          <w:lang w:val="zh-CN" w:bidi="ar"/>
        </w:rPr>
        <w:t xml:space="preserve"> 持续深入打造“中兴耐磨”、“高新美育”、“爱满家”、自贡建行“劳动者港湾”、自贡移动“数字互联”等各类示范特色“妇女微家”226个。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爱购凉山”推介活动、全市示范“妇女微家”总结会等各类特色活动42场，强化基层妇联枢纽作用和示范效应，关心凝聚各类优秀巾帼力量。</w:t>
      </w:r>
    </w:p>
    <w:p>
      <w:pPr>
        <w:adjustRightInd w:val="0"/>
        <w:snapToGrid w:val="0"/>
        <w:spacing w:line="580" w:lineRule="exact"/>
        <w:ind w:firstLine="720"/>
        <w:rPr>
          <w:rFonts w:cs="仿宋_GB2312"/>
          <w:bCs/>
          <w:lang w:val="zh-CN" w:bidi="ar"/>
        </w:rPr>
      </w:pPr>
      <w:r>
        <w:rPr>
          <w:rFonts w:hint="eastAsia" w:cs="仿宋_GB2312"/>
          <w:b/>
          <w:lang w:val="zh-CN" w:bidi="ar"/>
        </w:rPr>
        <w:t>三是进一步创新模式凝聚新力量。</w:t>
      </w:r>
      <w:r>
        <w:rPr>
          <w:rFonts w:hint="eastAsia" w:cs="仿宋_GB2312"/>
          <w:bCs/>
          <w:lang w:val="zh-CN" w:bidi="ar"/>
        </w:rPr>
        <w:t xml:space="preserve">与市委组织部等单位联合印发《关于加强全市两新组织党建带群建工作的实施方案》，推动新经济领域灵活设置妇女组织，社会组织中妇女组织应建尽建。及时出台自贡市妇联《新经济组织、新社会组织建立妇女组织工作基本流程》，明确建立妇女组织筹备阶段、选举阶段和建立后工作清单等内容，对“两新”组织建立妇女组织具有非常强的指导性，得到省妇联和市委组织部的好评。推动中共自贡市女企业协会党支部正式成立，在新领域、新业态、新阶层、新群体中建立妇女组织9个，在全省领先。持续推动孵化、培育、服务妇女儿童社会组织为功能的“幸福使者公益平台”建设，入驻社会组织35家，外联40余。创新资源整合和联动机制，积极牵线搭桥，促进天府新区商会与我市携手深化文旅产业合作，擦亮“盐龙灯食”城市名片。深化与重庆市永川、江津、綦江、荣昌四区妇联战略合作，开展社会组织、企业、家教专家等交流互访活动，共商合作新机制。与自贡建行、自贡移动订战略合作协议，推动妇女工作融入5G运用和乡村振兴大环境。开展市妇联2021年春节集中走访慰问专家人才活动，到四川轻化工大学等开展高校人才交流活动，积极为女性“三支队伍”优秀人才、社工人才、智库专家等解难题办实事，积极引导广大女性人才满腔热忱投身 再造产业自贡新征程。 </w:t>
      </w:r>
    </w:p>
    <w:p>
      <w:pPr>
        <w:numPr>
          <w:ilvl w:val="0"/>
          <w:numId w:val="5"/>
        </w:numPr>
        <w:adjustRightInd w:val="0"/>
        <w:snapToGrid w:val="0"/>
        <w:spacing w:line="580" w:lineRule="exact"/>
        <w:ind w:firstLine="720"/>
        <w:rPr>
          <w:rFonts w:cs="仿宋_GB2312"/>
          <w:b/>
          <w:lang w:val="zh-CN" w:bidi="ar"/>
        </w:rPr>
      </w:pPr>
      <w:r>
        <w:rPr>
          <w:rFonts w:hint="eastAsia" w:eastAsia="楷体_GB2312" w:cs="楷体_GB2312"/>
          <w:b/>
          <w:lang w:val="zh-CN" w:bidi="ar"/>
        </w:rPr>
        <w:t>项目效益情况。</w:t>
      </w:r>
    </w:p>
    <w:p>
      <w:pPr>
        <w:adjustRightInd w:val="0"/>
        <w:snapToGrid w:val="0"/>
        <w:spacing w:line="580" w:lineRule="exact"/>
        <w:ind w:firstLine="640" w:firstLineChars="200"/>
        <w:rPr>
          <w:rFonts w:cs="仿宋_GB2312"/>
          <w:lang w:bidi="ar"/>
        </w:rPr>
      </w:pPr>
      <w:r>
        <w:rPr>
          <w:rFonts w:hint="eastAsia" w:cs="仿宋_GB2312"/>
          <w:lang w:bidi="ar"/>
        </w:rPr>
        <w:t>2021年，市妇联强基固本提升行动项目在</w:t>
      </w:r>
      <w:r>
        <w:rPr>
          <w:rFonts w:hint="eastAsia" w:cs="仿宋_GB2312"/>
          <w:lang w:val="zh-CN" w:bidi="ar"/>
        </w:rPr>
        <w:t>经济、社会、生态、可持续效益以及服务对象满意度等方面取得了较好的成绩，服务对象满意度自评为</w:t>
      </w:r>
      <w:r>
        <w:rPr>
          <w:rFonts w:hint="eastAsia" w:cs="仿宋_GB2312"/>
          <w:lang w:bidi="ar"/>
        </w:rPr>
        <w:t xml:space="preserve">95%。 </w:t>
      </w:r>
    </w:p>
    <w:p>
      <w:pPr>
        <w:adjustRightInd w:val="0"/>
        <w:snapToGrid w:val="0"/>
        <w:spacing w:line="580" w:lineRule="exact"/>
        <w:ind w:firstLine="643" w:firstLineChars="200"/>
        <w:rPr>
          <w:rFonts w:eastAsia="仿宋" w:cs="仿宋"/>
          <w:bCs/>
          <w:lang w:val="zh-CN" w:bidi="ar"/>
        </w:rPr>
      </w:pPr>
      <w:r>
        <w:rPr>
          <w:rFonts w:hint="eastAsia" w:cs="仿宋_GB2312"/>
          <w:b/>
          <w:bCs/>
          <w:lang w:bidi="ar"/>
        </w:rPr>
        <w:t>一是社会效益作用发挥更加有力。</w:t>
      </w:r>
      <w:r>
        <w:rPr>
          <w:rFonts w:hint="eastAsia" w:eastAsia="仿宋" w:cs="仿宋"/>
          <w:bCs/>
          <w:lang w:val="zh-CN" w:bidi="ar"/>
        </w:rPr>
        <w:t>2021年，沿滩区联络镇高滩村妇联荣获全国妇联系统先进集体；市妇联被命名为全省民族团结示范单位；市妇联在改革“破难行动”工作中成效显著，孵化和培养妇女儿童社会组织工作中全省领先，得到省妇联通报表扬；富顺县妇联、自流井区磨子井社区妇联荣获省妇联基层组织建设工作先进集体；2名妇联干部荣获省妇联基层组织建设工作先进个人；市妇联推进村（社区）妇联换届工作、实施“省外妇女之家”建设项目、推荐女科技工作者符宇航事迹等被《四川女性》专题报道；整理编辑市妇联和沿滩区妇联“破难行动”案例，入选《四川省基层妇联组织建设与改革典型》；整理编辑执委履职案例3篇，入选《四川省妇联庆祝建党100周年优秀案例》。</w:t>
      </w:r>
    </w:p>
    <w:p>
      <w:pPr>
        <w:adjustRightInd w:val="0"/>
        <w:snapToGrid w:val="0"/>
        <w:spacing w:line="580" w:lineRule="exact"/>
        <w:ind w:firstLine="643" w:firstLineChars="200"/>
        <w:rPr>
          <w:rFonts w:cs="仿宋_GB2312"/>
          <w:bCs/>
          <w:lang w:val="zh-CN" w:bidi="ar"/>
        </w:rPr>
      </w:pPr>
      <w:r>
        <w:rPr>
          <w:rFonts w:hint="eastAsia" w:eastAsia="楷体_GB2312" w:cs="楷体_GB2312"/>
          <w:b/>
          <w:lang w:val="zh-CN" w:bidi="ar"/>
        </w:rPr>
        <w:t>二是可持续效益作用发挥更加明显。</w:t>
      </w:r>
      <w:r>
        <w:rPr>
          <w:rFonts w:hint="eastAsia" w:cs="仿宋_GB2312"/>
          <w:bCs/>
          <w:lang w:val="zh-CN" w:bidi="ar"/>
        </w:rPr>
        <w:t>及时出台自贡市妇联《新经济组织、新社会组织建立妇女组织工作基本流程》，明确建立妇女组织筹备阶段、选举阶段和建立后工作清单等内容，对“两新”组织建立妇女组织具有非常强的指导性和持续，得到省妇联和市委组织部的好评。持续深入打造“中兴耐磨”、“高新美育”、“爱满家”、自贡建行“劳动者港湾”、自贡移动“数字互联”等各类示范特色“妇女微家”226个。持续推动孵化、培育、服务妇女儿童社会组织为功能的“幸福使者公益平台”建设，入驻社会组织35家，外联40余。通过开展高校交流活动、社会组织、企业、家教专家等交流互访活动，“示范妇女微家”特色亮点工作展示评比活动等，进一步延伸工作手臂，引导广大妇女有序参与城乡社区治理、基层公共事务和公益事业，充分激发基层妇干和妇女干事内生动力。</w:t>
      </w:r>
    </w:p>
    <w:p>
      <w:pPr>
        <w:pStyle w:val="7"/>
        <w:spacing w:beforeLines="0" w:line="590" w:lineRule="exact"/>
        <w:ind w:firstLine="643" w:firstLineChars="200"/>
        <w:rPr>
          <w:rFonts w:ascii="Times New Roman" w:eastAsia="楷体_GB2312"/>
          <w:b/>
          <w:lang w:val="zh-CN"/>
        </w:rPr>
      </w:pPr>
      <w:r>
        <w:rPr>
          <w:rFonts w:hint="eastAsia" w:ascii="Times New Roman" w:cs="仿宋_GB2312"/>
          <w:b/>
          <w:kern w:val="2"/>
          <w:sz w:val="32"/>
          <w:szCs w:val="24"/>
          <w:lang w:val="zh-CN" w:bidi="ar"/>
        </w:rPr>
        <w:t>三是服务群众满意度更加提升。</w:t>
      </w:r>
      <w:r>
        <w:rPr>
          <w:rFonts w:hint="eastAsia" w:ascii="Times New Roman"/>
          <w:bCs/>
          <w:sz w:val="32"/>
          <w:szCs w:val="32"/>
        </w:rPr>
        <w:t>推动健全基层妇联长效工作机制。积极总结推广基层妇联执委会议事制度、乡镇(街道)妇联主席轮值制度、基层妇联组织工作公开制度等，探索基层妇联参与基层社会治理，服务党政、服务妇女、服务家庭工作机制，建立健全执委作用发挥、激励保障和动态调整机制。在市、区妇联的有力领导下，沿滩区联络镇</w:t>
      </w:r>
      <w:r>
        <w:rPr>
          <w:rFonts w:hint="eastAsia" w:ascii="Times New Roman" w:cs="仿宋_GB2312"/>
          <w:sz w:val="32"/>
          <w:szCs w:val="32"/>
        </w:rPr>
        <w:t>高滩村妇联充分调动村两委班子女性干部等工作积极性，争取项目资金超3000万元，先后实施易地扶贫搬迁等项目20余个，为建设幸福美丽高滩村贡献妇女巾帼力量，荣获全国妇联系统先进集体；</w:t>
      </w:r>
      <w:r>
        <w:rPr>
          <w:rFonts w:hint="eastAsia" w:ascii="Times New Roman"/>
          <w:bCs/>
          <w:sz w:val="32"/>
          <w:szCs w:val="32"/>
        </w:rPr>
        <w:t>富顺县狮市镇妇联通过“三抓三破”工作举措，即：“抓多元联动“破难”妇联改革、抓共建共享“破难”组织覆盖、抓园区党建“破难”执委带动”，</w:t>
      </w:r>
      <w:r>
        <w:rPr>
          <w:rFonts w:ascii="Times New Roman"/>
          <w:sz w:val="32"/>
          <w:szCs w:val="32"/>
        </w:rPr>
        <w:t>在脱贫攻坚、乡村振兴</w:t>
      </w:r>
      <w:r>
        <w:rPr>
          <w:rFonts w:hint="eastAsia" w:ascii="Times New Roman"/>
          <w:sz w:val="32"/>
          <w:szCs w:val="32"/>
        </w:rPr>
        <w:t>、基层治理</w:t>
      </w:r>
      <w:r>
        <w:rPr>
          <w:rFonts w:ascii="Times New Roman"/>
          <w:sz w:val="32"/>
          <w:szCs w:val="32"/>
        </w:rPr>
        <w:t>等中心工作中</w:t>
      </w:r>
      <w:r>
        <w:rPr>
          <w:rFonts w:hint="eastAsia" w:ascii="Times New Roman"/>
          <w:sz w:val="32"/>
          <w:szCs w:val="32"/>
        </w:rPr>
        <w:t>切实</w:t>
      </w:r>
      <w:r>
        <w:rPr>
          <w:rFonts w:ascii="Times New Roman"/>
          <w:sz w:val="32"/>
          <w:szCs w:val="32"/>
        </w:rPr>
        <w:t>发挥妇联组织优势</w:t>
      </w:r>
      <w:r>
        <w:rPr>
          <w:rFonts w:hint="eastAsia" w:ascii="Times New Roman"/>
          <w:bCs/>
          <w:sz w:val="32"/>
          <w:szCs w:val="32"/>
        </w:rPr>
        <w:t>；富顺县富世街道妇联持续打造宋婆婆爱心辅导班、“小黄龙门阵”“红裙子”“赖四姐坝坝谈”等基层妇联工作品牌，得到社会各界广泛赞赏和基层群众的认可。</w:t>
      </w:r>
    </w:p>
    <w:p>
      <w:pPr>
        <w:adjustRightInd w:val="0"/>
        <w:snapToGrid w:val="0"/>
        <w:spacing w:line="580" w:lineRule="exact"/>
        <w:ind w:firstLine="720"/>
        <w:rPr>
          <w:rFonts w:eastAsia="黑体"/>
        </w:rPr>
      </w:pPr>
      <w:r>
        <w:rPr>
          <w:rFonts w:hint="eastAsia" w:eastAsia="黑体" w:cs="黑体"/>
          <w:lang w:bidi="ar"/>
        </w:rPr>
        <w:t>四、问题及建议</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（一）存在的问题。</w:t>
      </w:r>
    </w:p>
    <w:p>
      <w:pPr>
        <w:spacing w:line="590" w:lineRule="exact"/>
        <w:ind w:firstLine="643" w:firstLineChars="200"/>
        <w:rPr>
          <w:rFonts w:cs="仿宋_GB2312"/>
          <w:szCs w:val="32"/>
        </w:rPr>
      </w:pPr>
      <w:r>
        <w:rPr>
          <w:rFonts w:hint="eastAsia" w:cs="仿宋_GB2312"/>
          <w:b/>
          <w:bCs/>
          <w:szCs w:val="32"/>
        </w:rPr>
        <w:t>一是基层妇联开展工作还有一定难度。</w:t>
      </w:r>
      <w:r>
        <w:rPr>
          <w:rFonts w:hint="eastAsia" w:cs="仿宋_GB2312"/>
          <w:szCs w:val="32"/>
        </w:rPr>
        <w:t>基层妇联干部兼职现象突出。虽然村（社区）、乡镇（街道）妇联通过改革工作力量得到了加强，但妇联干部都是身兼数职，用于开展妇联工作的时间和精力不多；尤其是乡镇妇联主席或专职副主席一般由年轻干部兼任，但年轻干部流动性大，导致工作出现断层。工作经费保障力度不够。县级妇联需按“一元钱”经费</w:t>
      </w:r>
      <w:r>
        <w:rPr>
          <w:rFonts w:hint="eastAsia" w:cs="仿宋_GB2312"/>
          <w:szCs w:val="32"/>
          <w:lang w:eastAsia="zh-CN"/>
        </w:rPr>
        <w:t>拨付</w:t>
      </w:r>
      <w:r>
        <w:rPr>
          <w:rFonts w:hint="eastAsia" w:cs="仿宋_GB2312"/>
          <w:szCs w:val="32"/>
        </w:rPr>
        <w:t>，也只能保证本级基本运转，越往基层，财政资金拨款越紧，筹资渠道越窄，拨付到村的妇联工作经费更是十分有限。</w:t>
      </w:r>
    </w:p>
    <w:p>
      <w:pPr>
        <w:pStyle w:val="7"/>
        <w:spacing w:before="131" w:line="590" w:lineRule="exact"/>
        <w:ind w:firstLine="640"/>
        <w:rPr>
          <w:rFonts w:ascii="Times New Roman" w:eastAsia="楷体_GB2312" w:cs="楷体_GB2312"/>
          <w:bCs/>
          <w:kern w:val="2"/>
          <w:sz w:val="32"/>
          <w:szCs w:val="24"/>
          <w:lang w:val="zh-CN" w:bidi="ar"/>
        </w:rPr>
      </w:pPr>
      <w:r>
        <w:rPr>
          <w:rFonts w:hint="eastAsia" w:ascii="Times New Roman" w:cs="仿宋_GB2312"/>
          <w:b/>
          <w:sz w:val="32"/>
          <w:szCs w:val="32"/>
        </w:rPr>
        <w:t>二是</w:t>
      </w:r>
      <w:r>
        <w:rPr>
          <w:rFonts w:hint="eastAsia" w:ascii="Times New Roman" w:cs="仿宋_GB2312"/>
          <w:b/>
          <w:bCs/>
          <w:sz w:val="32"/>
          <w:szCs w:val="32"/>
        </w:rPr>
        <w:t>社会组织孵化培育平台有效运转后劲不足。</w:t>
      </w:r>
      <w:r>
        <w:rPr>
          <w:rFonts w:hint="eastAsia" w:ascii="Times New Roman" w:cs="仿宋_GB2312"/>
          <w:sz w:val="32"/>
          <w:szCs w:val="32"/>
        </w:rPr>
        <w:t>2017年，市妇联为更好地联动培育社会组织，搭建了“幸福使者公益平台”。该平台运转以来，先后得到了省、市妇联项目经费的大力支持，为平台运转和培育发展社会组织发挥了积极作用。但目前由于各级专项经费预算的削减，失去项目支撑的平台运转面临极大的困难和问题，迫切需要得到上级妇联的支持与帮助。</w:t>
      </w:r>
    </w:p>
    <w:p>
      <w:pPr>
        <w:numPr>
          <w:ilvl w:val="0"/>
          <w:numId w:val="5"/>
        </w:numPr>
        <w:adjustRightInd w:val="0"/>
        <w:snapToGrid w:val="0"/>
        <w:spacing w:line="580" w:lineRule="exact"/>
        <w:ind w:firstLine="720"/>
        <w:rPr>
          <w:rFonts w:cs="仿宋_GB2312"/>
          <w:lang w:val="zh-CN" w:bidi="ar"/>
        </w:rPr>
      </w:pPr>
      <w:r>
        <w:rPr>
          <w:rFonts w:hint="eastAsia" w:eastAsia="楷体_GB2312" w:cs="楷体_GB2312"/>
          <w:bCs/>
          <w:lang w:val="zh-CN" w:bidi="ar"/>
        </w:rPr>
        <w:t>相关建议。</w:t>
      </w:r>
      <w:r>
        <w:rPr>
          <w:rFonts w:hint="eastAsia" w:cs="仿宋_GB2312"/>
          <w:lang w:val="zh-CN" w:bidi="ar"/>
        </w:rPr>
        <w:t>提出项目</w:t>
      </w:r>
      <w:r>
        <w:rPr>
          <w:lang w:val="zh-CN" w:bidi="ar"/>
        </w:rPr>
        <w:t>(</w:t>
      </w:r>
      <w:r>
        <w:rPr>
          <w:rFonts w:hint="eastAsia" w:cs="仿宋_GB2312"/>
          <w:lang w:val="zh-CN" w:bidi="ar"/>
        </w:rPr>
        <w:t>相关政策</w:t>
      </w:r>
      <w:r>
        <w:rPr>
          <w:lang w:val="zh-CN" w:bidi="ar"/>
        </w:rPr>
        <w:t>)</w:t>
      </w:r>
      <w:r>
        <w:rPr>
          <w:rFonts w:hint="eastAsia" w:cs="仿宋_GB2312"/>
          <w:lang w:val="zh-CN" w:bidi="ar"/>
        </w:rPr>
        <w:t>改进完善的建议意见。</w:t>
      </w:r>
    </w:p>
    <w:p>
      <w:pPr>
        <w:pStyle w:val="7"/>
        <w:spacing w:before="131" w:line="590" w:lineRule="exact"/>
        <w:ind w:firstLine="643" w:firstLineChars="200"/>
        <w:rPr>
          <w:rFonts w:ascii="Times New Roman" w:cs="仿宋_GB2312"/>
          <w:sz w:val="32"/>
          <w:szCs w:val="32"/>
        </w:rPr>
      </w:pPr>
      <w:r>
        <w:rPr>
          <w:rFonts w:hint="eastAsia" w:ascii="Times New Roman" w:cs="仿宋_GB2312"/>
          <w:b/>
          <w:bCs/>
          <w:sz w:val="32"/>
          <w:szCs w:val="32"/>
        </w:rPr>
        <w:t>一是加强基层妇联经费保障力度。</w:t>
      </w:r>
      <w:r>
        <w:rPr>
          <w:rFonts w:hint="eastAsia" w:ascii="Times New Roman" w:cs="仿宋_GB2312"/>
          <w:sz w:val="32"/>
          <w:szCs w:val="32"/>
        </w:rPr>
        <w:t>争取各级财政支持，明确乡镇（街道）、村（社区）妇联专项工作经费保障。由全国妇联会同相关部门出文，明确村（社区）妇联执委工作补贴，进一步充实妇联力量，调动基层妇联干部工作积极性。</w:t>
      </w:r>
    </w:p>
    <w:p>
      <w:pPr>
        <w:autoSpaceDE w:val="0"/>
        <w:autoSpaceDN w:val="0"/>
        <w:snapToGrid w:val="0"/>
        <w:spacing w:line="590" w:lineRule="exact"/>
        <w:ind w:firstLine="643" w:firstLineChars="200"/>
        <w:jc w:val="left"/>
        <w:rPr>
          <w:rFonts w:cs="仿宋_GB2312"/>
          <w:szCs w:val="32"/>
        </w:rPr>
      </w:pPr>
      <w:r>
        <w:rPr>
          <w:rFonts w:hint="eastAsia" w:cs="仿宋_GB2312"/>
          <w:b/>
          <w:bCs/>
          <w:szCs w:val="32"/>
        </w:rPr>
        <w:t>二是进一步深化大群团工作格局。</w:t>
      </w:r>
      <w:r>
        <w:rPr>
          <w:rFonts w:hint="eastAsia" w:cs="仿宋_GB2312"/>
          <w:szCs w:val="32"/>
        </w:rPr>
        <w:t>在当前共同富裕、城乡基本公共服务均等化的大背景下，找准“群团所能”与“党政所需”的结合点，聚焦“数字赋能”“品牌打造”，统筹镇域范围内的群团资源，探索建立区域化群团联盟，合力实现信息、资源、人才、技术等互联互通，发挥“1+1&gt;2”的效应，构建合力互助、协同发展工作格局。</w:t>
      </w:r>
    </w:p>
    <w:p>
      <w:pPr>
        <w:rPr>
          <w:lang w:val="zh-CN"/>
        </w:rPr>
      </w:pPr>
    </w:p>
    <w:p>
      <w:pPr>
        <w:pStyle w:val="7"/>
        <w:spacing w:before="131"/>
        <w:rPr>
          <w:rFonts w:ascii="Times New Roman"/>
          <w:lang w:val="zh-CN"/>
        </w:rPr>
      </w:pPr>
    </w:p>
    <w:p>
      <w:pPr>
        <w:rPr>
          <w:lang w:val="zh-CN"/>
        </w:rPr>
      </w:pPr>
    </w:p>
    <w:p>
      <w:pPr>
        <w:pStyle w:val="7"/>
        <w:spacing w:before="131"/>
        <w:rPr>
          <w:rFonts w:ascii="Times New Roman"/>
          <w:lang w:val="zh-CN"/>
        </w:rPr>
      </w:pPr>
    </w:p>
    <w:p>
      <w:pPr>
        <w:rPr>
          <w:lang w:val="zh-CN"/>
        </w:rPr>
      </w:pPr>
    </w:p>
    <w:p>
      <w:pPr>
        <w:pStyle w:val="7"/>
        <w:spacing w:before="131"/>
        <w:rPr>
          <w:rFonts w:ascii="Times New Roman"/>
          <w:lang w:val="zh-CN"/>
        </w:rPr>
      </w:pPr>
    </w:p>
    <w:p>
      <w:pPr>
        <w:rPr>
          <w:lang w:val="zh-CN"/>
        </w:rPr>
      </w:pPr>
    </w:p>
    <w:p>
      <w:pPr>
        <w:pStyle w:val="7"/>
        <w:spacing w:before="131"/>
        <w:rPr>
          <w:rFonts w:ascii="Times New Roman"/>
          <w:lang w:val="zh-CN"/>
        </w:rPr>
      </w:pPr>
    </w:p>
    <w:p>
      <w:pPr>
        <w:rPr>
          <w:lang w:val="zh-CN"/>
        </w:rPr>
      </w:pPr>
    </w:p>
    <w:p>
      <w:pPr>
        <w:pStyle w:val="7"/>
        <w:spacing w:before="131"/>
        <w:rPr>
          <w:rFonts w:ascii="Times New Roman"/>
          <w:lang w:val="zh-CN"/>
        </w:rPr>
      </w:pPr>
    </w:p>
    <w:p>
      <w:pPr>
        <w:rPr>
          <w:lang w:val="zh-CN"/>
        </w:rPr>
      </w:pPr>
    </w:p>
    <w:p>
      <w:pPr>
        <w:pStyle w:val="7"/>
        <w:spacing w:before="131"/>
        <w:rPr>
          <w:rFonts w:ascii="Times New Roman"/>
          <w:lang w:val="zh-CN"/>
        </w:rPr>
      </w:pPr>
    </w:p>
    <w:p>
      <w:pPr>
        <w:rPr>
          <w:lang w:val="zh-CN"/>
        </w:rPr>
      </w:pPr>
    </w:p>
    <w:p>
      <w:pPr>
        <w:pStyle w:val="21"/>
        <w:spacing w:line="580" w:lineRule="exact"/>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（维权关爱再提升行动）</w:t>
      </w:r>
    </w:p>
    <w:p>
      <w:pPr>
        <w:adjustRightInd w:val="0"/>
        <w:snapToGrid w:val="0"/>
        <w:spacing w:line="560" w:lineRule="exact"/>
        <w:ind w:firstLine="720"/>
        <w:rPr>
          <w:rFonts w:eastAsia="黑体" w:cs="黑体"/>
          <w:lang w:bidi="ar"/>
        </w:rPr>
      </w:pPr>
    </w:p>
    <w:p>
      <w:pPr>
        <w:adjustRightInd w:val="0"/>
        <w:snapToGrid w:val="0"/>
        <w:spacing w:line="560" w:lineRule="exact"/>
        <w:ind w:firstLine="720"/>
        <w:rPr>
          <w:rFonts w:eastAsia="黑体"/>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25</w:t>
      </w:r>
      <w:r>
        <w:rPr>
          <w:rFonts w:hint="eastAsia" w:cs="仿宋_GB2312"/>
          <w:lang w:val="zh-CN" w:bidi="ar"/>
        </w:rPr>
        <w:t>万元，市财政局批复</w:t>
      </w:r>
      <w:r>
        <w:rPr>
          <w:rFonts w:hint="eastAsia" w:cs="仿宋_GB2312"/>
          <w:lang w:bidi="ar"/>
        </w:rPr>
        <w:t>25</w:t>
      </w:r>
      <w:r>
        <w:rPr>
          <w:rFonts w:hint="eastAsia" w:cs="仿宋_GB2312"/>
          <w:lang w:val="zh-CN" w:bidi="ar"/>
        </w:rPr>
        <w:t>万元，符合一般财政资金管理办法。</w:t>
      </w:r>
    </w:p>
    <w:p>
      <w:pPr>
        <w:ind w:firstLine="643" w:firstLineChars="200"/>
        <w:rPr>
          <w:rFonts w:cs="仿宋_GB2312"/>
          <w:lang w:val="zh-CN" w:bidi="ar"/>
        </w:rPr>
      </w:pPr>
      <w:r>
        <w:rPr>
          <w:rFonts w:hint="eastAsia" w:eastAsia="楷体_GB2312" w:cs="楷体_GB2312"/>
          <w:b/>
          <w:lang w:val="zh-CN" w:bidi="ar"/>
        </w:rPr>
        <w:t>（二）项目绩效目标。</w:t>
      </w:r>
      <w:r>
        <w:rPr>
          <w:rFonts w:hint="eastAsia" w:cs="仿宋_GB2312"/>
          <w:lang w:val="zh-CN" w:bidi="ar"/>
        </w:rPr>
        <w:t>依法维护妇女儿童合法权益，广泛开展“巾帼心向党 奋斗新征程”为主题的各类妇女思想引领活动，“百千万巾帼大宣讲”、“巾帼心向党思想引领法治讲堂”等各类活动及讲座。</w:t>
      </w:r>
    </w:p>
    <w:p>
      <w:pPr>
        <w:adjustRightInd w:val="0"/>
        <w:snapToGrid w:val="0"/>
        <w:spacing w:line="560" w:lineRule="exact"/>
        <w:ind w:firstLine="720"/>
        <w:rPr>
          <w:lang w:val="zh-CN"/>
        </w:rPr>
      </w:pPr>
      <w:r>
        <w:rPr>
          <w:rFonts w:hint="eastAsia" w:eastAsia="楷体_GB2312" w:cs="楷体_GB2312"/>
          <w:b/>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60" w:lineRule="exact"/>
        <w:ind w:firstLine="720"/>
        <w:rPr>
          <w:rFonts w:eastAsia="黑体"/>
        </w:rPr>
      </w:pPr>
      <w:r>
        <w:rPr>
          <w:rFonts w:hint="eastAsia" w:eastAsia="黑体" w:cs="黑体"/>
          <w:lang w:bidi="ar"/>
        </w:rPr>
        <w:t>二、项目实施及管理情况</w:t>
      </w:r>
    </w:p>
    <w:p>
      <w:pPr>
        <w:adjustRightInd w:val="0"/>
        <w:snapToGrid w:val="0"/>
        <w:spacing w:line="560" w:lineRule="exact"/>
        <w:ind w:firstLine="720"/>
        <w:rPr>
          <w:rFonts w:eastAsia="楷体_GB2312"/>
          <w:b/>
          <w:lang w:val="zh-CN"/>
        </w:rPr>
      </w:pPr>
      <w:r>
        <w:rPr>
          <w:lang w:val="zh-CN" w:bidi="ar"/>
        </w:rPr>
        <w:tab/>
      </w:r>
      <w:r>
        <w:rPr>
          <w:rFonts w:hint="eastAsia" w:eastAsia="楷体_GB2312" w:cs="楷体_GB2312"/>
          <w:b/>
          <w:lang w:val="zh-CN" w:bidi="ar"/>
        </w:rPr>
        <w:t>（一）资金计划、到位及使用情况。</w:t>
      </w:r>
    </w:p>
    <w:p>
      <w:pPr>
        <w:adjustRightInd w:val="0"/>
        <w:snapToGrid w:val="0"/>
        <w:spacing w:line="560" w:lineRule="exact"/>
        <w:ind w:firstLine="720"/>
        <w:jc w:val="left"/>
        <w:rPr>
          <w:lang w:val="zh-CN"/>
        </w:rPr>
      </w:pPr>
      <w:r>
        <w:rPr>
          <w:rFonts w:eastAsia="楷体_GB2312"/>
          <w:lang w:val="zh-CN" w:bidi="ar"/>
        </w:rPr>
        <w:t>1</w:t>
      </w:r>
      <w:r>
        <w:rPr>
          <w:rFonts w:hint="eastAsia" w:eastAsia="楷体_GB2312" w:cs="楷体_GB2312"/>
          <w:lang w:val="zh-CN" w:bidi="ar"/>
        </w:rPr>
        <w:t>．</w:t>
      </w:r>
      <w:r>
        <w:rPr>
          <w:rFonts w:hint="eastAsia" w:cs="仿宋_GB2312"/>
          <w:lang w:val="zh-CN" w:bidi="ar"/>
        </w:rPr>
        <w:t>资金计划及到位。该项目市本级财政预算资金</w:t>
      </w:r>
      <w:r>
        <w:rPr>
          <w:rFonts w:hint="eastAsia" w:cs="仿宋_GB2312"/>
          <w:lang w:bidi="ar"/>
        </w:rPr>
        <w:t>25</w:t>
      </w:r>
      <w:r>
        <w:rPr>
          <w:rFonts w:hint="eastAsia" w:cs="仿宋_GB2312"/>
          <w:lang w:val="zh-CN" w:bidi="ar"/>
        </w:rPr>
        <w:t>万元，实际到位市本级财政资金</w:t>
      </w:r>
      <w:r>
        <w:rPr>
          <w:rFonts w:hint="eastAsia" w:cs="仿宋_GB2312"/>
          <w:lang w:bidi="ar"/>
        </w:rPr>
        <w:t>25</w:t>
      </w:r>
      <w:r>
        <w:rPr>
          <w:rFonts w:hint="eastAsia" w:cs="仿宋_GB2312"/>
          <w:lang w:val="zh-CN" w:bidi="ar"/>
        </w:rPr>
        <w:t>万元。资金到位率100%，资金严格按照项目实施进度及时到位。</w:t>
      </w:r>
    </w:p>
    <w:p>
      <w:pPr>
        <w:adjustRightInd w:val="0"/>
        <w:snapToGrid w:val="0"/>
        <w:spacing w:line="560" w:lineRule="exact"/>
        <w:ind w:firstLine="720"/>
        <w:jc w:val="left"/>
        <w:rPr>
          <w:lang w:val="zh-CN"/>
        </w:rPr>
      </w:pPr>
      <w:r>
        <w:rPr>
          <w:rFonts w:hint="eastAsia" w:cs="仿宋_GB2312"/>
          <w:lang w:val="zh-CN" w:bidi="ar"/>
        </w:rPr>
        <w:t>2.资金使用。截止评价时点项目资金实际支出</w:t>
      </w:r>
      <w:r>
        <w:rPr>
          <w:rFonts w:hint="eastAsia" w:cs="仿宋_GB2312"/>
          <w:lang w:bidi="ar"/>
        </w:rPr>
        <w:t>24.99万</w:t>
      </w:r>
      <w:r>
        <w:rPr>
          <w:rFonts w:hint="eastAsia" w:cs="仿宋_GB2312"/>
          <w:lang w:val="zh-CN" w:bidi="ar"/>
        </w:rPr>
        <w:t>元，用于</w:t>
      </w:r>
      <w:r>
        <w:rPr>
          <w:rFonts w:hint="eastAsia" w:cs="仿宋_GB2312"/>
          <w:lang w:bidi="ar"/>
        </w:rPr>
        <w:t>妇女儿童维权关爱等工作，</w:t>
      </w:r>
      <w:r>
        <w:rPr>
          <w:rFonts w:hint="eastAsia" w:cs="仿宋_GB2312"/>
          <w:lang w:val="zh-CN" w:bidi="ar"/>
        </w:rPr>
        <w:t>资金支付进度严格按照项目实施进度进行。支付依据合规合法，资金支付与预算一致。</w:t>
      </w:r>
    </w:p>
    <w:p>
      <w:pPr>
        <w:adjustRightInd w:val="0"/>
        <w:snapToGrid w:val="0"/>
        <w:spacing w:line="560" w:lineRule="exact"/>
        <w:ind w:firstLine="720"/>
        <w:rPr>
          <w:rFonts w:eastAsia="楷体_GB2312"/>
          <w:b/>
          <w:lang w:val="zh-CN"/>
        </w:rPr>
      </w:pPr>
      <w:r>
        <w:rPr>
          <w:rFonts w:hint="eastAsia" w:eastAsia="楷体_GB2312" w:cs="楷体_GB2312"/>
          <w:b/>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60" w:lineRule="exact"/>
        <w:ind w:firstLine="720"/>
        <w:rPr>
          <w:rFonts w:eastAsia="楷体_GB2312"/>
          <w:b/>
          <w:lang w:val="zh-CN"/>
        </w:rPr>
      </w:pPr>
      <w:r>
        <w:rPr>
          <w:rFonts w:hint="eastAsia" w:eastAsia="楷体_GB2312" w:cs="楷体_GB2312"/>
          <w:b/>
          <w:lang w:val="zh-CN" w:bidi="ar"/>
        </w:rPr>
        <w:t>（三）项目组织实施情况。</w:t>
      </w:r>
    </w:p>
    <w:p>
      <w:pPr>
        <w:adjustRightInd w:val="0"/>
        <w:snapToGrid w:val="0"/>
        <w:spacing w:line="560" w:lineRule="exact"/>
        <w:ind w:firstLine="720"/>
        <w:rPr>
          <w:rFonts w:eastAsia="楷体_GB2312" w:cs="楷体_GB2312"/>
          <w:b/>
          <w:bCs/>
          <w:szCs w:val="32"/>
        </w:rPr>
      </w:pPr>
      <w:r>
        <w:rPr>
          <w:rFonts w:hint="eastAsia" w:cs="仿宋_GB2312"/>
          <w:lang w:val="zh-CN" w:bidi="ar"/>
        </w:rPr>
        <w:t>该项目由权宣部统一管理，严格按照财务管理等相关制度进行申报、审批，由相关机构、人员进行监督，确保资金的合理规范使用和项目绩效目标的圆满完成。</w:t>
      </w:r>
    </w:p>
    <w:p>
      <w:pPr>
        <w:ind w:firstLine="640" w:firstLineChars="200"/>
        <w:rPr>
          <w:rFonts w:eastAsia="黑体" w:cs="黑体"/>
          <w:szCs w:val="32"/>
        </w:rPr>
      </w:pPr>
      <w:r>
        <w:rPr>
          <w:rFonts w:hint="eastAsia" w:eastAsia="黑体" w:cs="黑体"/>
          <w:szCs w:val="32"/>
        </w:rPr>
        <w:t>三、项目绩效情况</w:t>
      </w:r>
    </w:p>
    <w:p>
      <w:pPr>
        <w:ind w:firstLine="643" w:firstLineChars="200"/>
        <w:rPr>
          <w:rFonts w:eastAsia="楷体_GB2312" w:cs="楷体_GB2312"/>
          <w:b/>
          <w:bCs/>
          <w:szCs w:val="32"/>
        </w:rPr>
      </w:pPr>
      <w:r>
        <w:rPr>
          <w:rFonts w:hint="eastAsia" w:eastAsia="楷体_GB2312" w:cs="楷体_GB2312"/>
          <w:b/>
          <w:bCs/>
          <w:szCs w:val="32"/>
        </w:rPr>
        <w:t>（一）项目完成情况</w:t>
      </w:r>
    </w:p>
    <w:p>
      <w:pPr>
        <w:spacing w:line="540" w:lineRule="exact"/>
        <w:ind w:firstLine="643" w:firstLineChars="200"/>
        <w:rPr>
          <w:rFonts w:cs="仿宋_GB2312"/>
          <w:szCs w:val="32"/>
        </w:rPr>
      </w:pPr>
      <w:r>
        <w:rPr>
          <w:rFonts w:hint="eastAsia" w:cs="仿宋_GB2312"/>
          <w:b/>
          <w:bCs/>
          <w:szCs w:val="32"/>
        </w:rPr>
        <w:t>1.创新开展妇女思想引领工作。</w:t>
      </w:r>
      <w:r>
        <w:rPr>
          <w:rFonts w:hint="eastAsia" w:eastAsia="楷体_GB2312" w:cs="楷体_GB2312"/>
          <w:b/>
          <w:bCs/>
          <w:szCs w:val="32"/>
        </w:rPr>
        <w:t>线上活动开展情况：</w:t>
      </w:r>
      <w:r>
        <w:rPr>
          <w:rFonts w:hint="eastAsia"/>
          <w:szCs w:val="32"/>
        </w:rPr>
        <w:t>为更好地传播党的声音，宣传妇联工作，服务妇女群众，提升妇联工作影响力，市妇联</w:t>
      </w:r>
      <w:r>
        <w:rPr>
          <w:rFonts w:hint="eastAsia" w:cs="仿宋_GB2312"/>
          <w:szCs w:val="32"/>
        </w:rPr>
        <w:t>抓牢宣传主阵地，构建“妇”字号特色的“一微一网一平台”新媒体网络矩阵，2021年，市妇联通过“紫薇花开”微信公众号共计发布微信260次，推送信息515条，包括原创工作微信350条，转发微信165条。其中两档精品栏目，一是从2021年3月8日起，精心策划推送《盐都党的女儿》事迹展播，按每周2期的频次，推送事迹展播100期；二是推送原创普法栏目“廖法官说法”12期。全年累计阅读量247400次，服务妇女群众10万人次以上。</w:t>
      </w:r>
      <w:r>
        <w:rPr>
          <w:rFonts w:hint="eastAsia" w:eastAsia="楷体_GB2312" w:cs="楷体_GB2312"/>
          <w:b/>
          <w:bCs/>
          <w:szCs w:val="32"/>
        </w:rPr>
        <w:t>线下活动开展情况：</w:t>
      </w:r>
      <w:r>
        <w:rPr>
          <w:rFonts w:hint="eastAsia" w:cs="仿宋_GB2312"/>
          <w:b/>
          <w:bCs/>
          <w:szCs w:val="32"/>
        </w:rPr>
        <w:t>一是</w:t>
      </w:r>
      <w:r>
        <w:rPr>
          <w:rFonts w:hint="eastAsia" w:cs="仿宋_GB2312"/>
          <w:b/>
          <w:bCs/>
          <w:color w:val="000000" w:themeColor="text1"/>
          <w:szCs w:val="32"/>
          <w14:textFill>
            <w14:solidFill>
              <w14:schemeClr w14:val="tx1"/>
            </w14:solidFill>
          </w14:textFill>
        </w:rPr>
        <w:t>举办“永远跟党走——巾帼心向党﹒奋斗新征程”自贡市党史学习群众性宣传教育活动暨第二届“紫薇花开”广场舞大赛活动。</w:t>
      </w:r>
      <w:r>
        <w:rPr>
          <w:rFonts w:hint="eastAsia" w:cs="仿宋_GB2312"/>
          <w:bCs/>
          <w:color w:val="000000" w:themeColor="text1"/>
          <w:szCs w:val="32"/>
          <w14:textFill>
            <w14:solidFill>
              <w14:schemeClr w14:val="tx1"/>
            </w14:solidFill>
          </w14:textFill>
        </w:rPr>
        <w:t>为唱响爱党爱国爱社会主义最强音，引导盐都妇女永远听党话颂党恩跟党走，以妇女群众喜闻乐见的广场舞为宣传教育活动载体，为中国共产党建党100周年献礼。在全市136支广场舞队骨干的带动下，全市城乡万名广场舞妇女群众参与到齐跳广场舞《共圆中国梦》《在希望的田野上》活动中来，形成巾帼同庆中国共产党百年华诞的热烈氛围。通过开展自贡市党史学习群众性宣传教育活动暨第二届“紫薇花开”广场舞大赛活动，将“永远跟党走——巾帼心向党 奋斗新征程”这个主题贯彻始终，引导广场舞妇女成为新时代文明新风的传播者、社会主义核心价值观的践行者，号召全市妇女以女性特有的力量带动家庭影响社会，为推进我市超常跨越和高质量发展凝聚巾帼力量发挥建功“十四五”、奋斗新征程的巾帼力量。</w:t>
      </w:r>
      <w:r>
        <w:rPr>
          <w:rFonts w:hint="eastAsia" w:cs="仿宋_GB2312"/>
          <w:b/>
          <w:color w:val="000000" w:themeColor="text1"/>
          <w:szCs w:val="32"/>
          <w14:textFill>
            <w14:solidFill>
              <w14:schemeClr w14:val="tx1"/>
            </w14:solidFill>
          </w14:textFill>
        </w:rPr>
        <w:t>二是在全市组织开展2021—2022年“巾帼维权大讲堂”进区县、进机关、进企业、进乡村、进社区、进家庭“六进”活动。</w:t>
      </w:r>
      <w:r>
        <w:rPr>
          <w:rFonts w:hint="eastAsia" w:cs="仿宋_GB2312"/>
          <w:szCs w:val="32"/>
        </w:rPr>
        <w:t>今年是《民法典》颁布实施的第一年，也是《中华人民共和国未成年人保护法》第二次修订版颁布实施的第一年，为切实推进“建设法治中国 巾帼在行动”，营造学法、守法、尊法、用法的良好法治氛围，增强妇女儿童依法维权意识，</w:t>
      </w:r>
      <w:r>
        <w:rPr>
          <w:rFonts w:hint="eastAsia" w:cs="仿宋_GB2312"/>
          <w:color w:val="000000"/>
          <w:szCs w:val="32"/>
        </w:rPr>
        <w:t>引导社会公众建立和维护平等、和睦、文明的婚姻家庭关系，进一步增强人民群众的获得感、幸福感、安全感，为建设城乡一体繁荣幸福新自贡创造和谐稳定的社会环境，市妇联在全市组织开展2021—2022年“巾帼维权大讲堂”进区县、进机关、进企业、进乡村、进社区、进家庭“六进”活动。通过</w:t>
      </w:r>
      <w:r>
        <w:rPr>
          <w:rFonts w:hint="eastAsia" w:cs="仿宋_GB2312"/>
          <w:color w:val="000000" w:themeColor="text1"/>
          <w:szCs w:val="32"/>
          <w14:textFill>
            <w14:solidFill>
              <w14:schemeClr w14:val="tx1"/>
            </w14:solidFill>
          </w14:textFill>
        </w:rPr>
        <w:t>以“以案说法”的形式宣讲</w:t>
      </w:r>
      <w:r>
        <w:rPr>
          <w:rFonts w:hint="eastAsia" w:cs="仿宋_GB2312"/>
          <w:szCs w:val="32"/>
        </w:rPr>
        <w:t>《民法典》《中华人民共和国未成年人保护法》</w:t>
      </w:r>
      <w:r>
        <w:rPr>
          <w:rFonts w:hint="eastAsia" w:cs="仿宋_GB2312"/>
          <w:color w:val="000000" w:themeColor="text1"/>
          <w:szCs w:val="32"/>
          <w14:textFill>
            <w14:solidFill>
              <w14:schemeClr w14:val="tx1"/>
            </w14:solidFill>
          </w14:textFill>
        </w:rPr>
        <w:t>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w:t>
      </w:r>
      <w:r>
        <w:rPr>
          <w:rFonts w:hint="eastAsia" w:cs="仿宋_GB2312"/>
          <w:szCs w:val="32"/>
        </w:rPr>
        <w:t>9月9日下午，由自贡市妇联主办，自贡市巾帼维权女律师服务团协办的自贡市第七届“紫薇花开·巾帼维权大讲堂”启动仪式在自贡市非公有制企业党建学院举行，50余名女律师们将用一年的时间分赴城市社区、乡镇农村开展法制宣讲150场。</w:t>
      </w:r>
      <w:r>
        <w:rPr>
          <w:rFonts w:hint="eastAsia" w:cs="仿宋_GB2312"/>
          <w:b/>
          <w:bCs/>
          <w:szCs w:val="32"/>
        </w:rPr>
        <w:t>三是</w:t>
      </w:r>
      <w:r>
        <w:rPr>
          <w:rFonts w:hint="eastAsia" w:cs="仿宋_GB2312"/>
          <w:b/>
          <w:color w:val="000000" w:themeColor="text1"/>
          <w:szCs w:val="32"/>
          <w14:textFill>
            <w14:solidFill>
              <w14:schemeClr w14:val="tx1"/>
            </w14:solidFill>
          </w14:textFill>
        </w:rPr>
        <w:t>组织开展</w:t>
      </w:r>
      <w:r>
        <w:rPr>
          <w:rFonts w:hint="eastAsia" w:cs="仿宋_GB2312"/>
          <w:b/>
          <w:szCs w:val="32"/>
        </w:rPr>
        <w:t>自贡市第二届“国有法 家有爱”三八维权周特别节目。</w:t>
      </w:r>
      <w:r>
        <w:rPr>
          <w:rFonts w:hint="eastAsia" w:cs="仿宋_GB2312"/>
          <w:b/>
          <w:color w:val="000000" w:themeColor="text1"/>
          <w:szCs w:val="32"/>
          <w14:textFill>
            <w14:solidFill>
              <w14:schemeClr w14:val="tx1"/>
            </w14:solidFill>
          </w14:textFill>
        </w:rPr>
        <w:t xml:space="preserve"> </w:t>
      </w:r>
      <w:r>
        <w:rPr>
          <w:rFonts w:hint="eastAsia" w:cs="仿宋_GB2312"/>
          <w:bCs/>
          <w:color w:val="000000" w:themeColor="text1"/>
          <w:szCs w:val="32"/>
          <w14:textFill>
            <w14:solidFill>
              <w14:schemeClr w14:val="tx1"/>
            </w14:solidFill>
          </w14:textFill>
        </w:rPr>
        <w:t>2021年“三八”维权宣传周期间，</w:t>
      </w:r>
      <w:r>
        <w:rPr>
          <w:rFonts w:hint="eastAsia" w:cs="仿宋_GB2312"/>
          <w:szCs w:val="32"/>
        </w:rPr>
        <w:t>自贡市妇联着力维权关爱再提升行动，携手自贡市依法治市办、自贡市多元化解办、自贡市司法局，组织开展自贡市第二届“国有法 家有爱”三八维权周特别节目。2021年3月8日—3月14日，</w:t>
      </w:r>
      <w:r>
        <w:rPr>
          <w:rFonts w:hint="eastAsia" w:cs="仿宋_GB2312"/>
          <w:color w:val="000000" w:themeColor="text1"/>
          <w:spacing w:val="-6"/>
          <w:szCs w:val="32"/>
          <w14:textFill>
            <w14:solidFill>
              <w14:schemeClr w14:val="tx1"/>
            </w14:solidFill>
          </w14:textFill>
        </w:rPr>
        <w:t>连续7天在FM90.2自贡交通广播电台，</w:t>
      </w:r>
      <w:r>
        <w:rPr>
          <w:rFonts w:hint="eastAsia" w:cs="仿宋_GB2312"/>
          <w:szCs w:val="32"/>
        </w:rPr>
        <w:t>每天下午17:00-19:00黄金时段，市巾帼维权女律师服务团律师、自贡市心灵花园婚姻家庭教育咨询中心婚恋专家，以婚恋全时段为主线，即从恋爱（同居）纠纷——婚姻家庭关系调适——家庭暴力应对——离婚纠纷——再婚（老年人同居）纠纷等五个方面入手，对应《民法典》所涉及的法律条款、典型案例以及家庭建设等方面，通过以案说法、以案说理、以案说情，进一步深化妇女儿童及家庭法治宣传教育，切实增强妇女儿童依法维权意识，预防和化解婚姻家庭矛盾，促进家庭和谐建设。</w:t>
      </w:r>
      <w:r>
        <w:rPr>
          <w:rFonts w:hint="eastAsia" w:cs="仿宋_GB2312"/>
          <w:color w:val="000000" w:themeColor="text1"/>
          <w:szCs w:val="32"/>
          <w14:textFill>
            <w14:solidFill>
              <w14:schemeClr w14:val="tx1"/>
            </w14:solidFill>
          </w14:textFill>
        </w:rPr>
        <w:t>让电波搭建连心桥，普法走进直播间，收听人数累计达10万人次</w:t>
      </w:r>
      <w:r>
        <w:rPr>
          <w:rFonts w:hint="eastAsia" w:cs="仿宋_GB2312"/>
          <w:color w:val="000000" w:themeColor="text1"/>
          <w:spacing w:val="-6"/>
          <w:szCs w:val="32"/>
          <w14:textFill>
            <w14:solidFill>
              <w14:schemeClr w14:val="tx1"/>
            </w14:solidFill>
          </w14:textFill>
        </w:rPr>
        <w:t>。</w:t>
      </w:r>
    </w:p>
    <w:p>
      <w:pPr>
        <w:ind w:firstLine="643" w:firstLineChars="200"/>
        <w:rPr>
          <w:rFonts w:cs="仿宋_GB2312"/>
          <w:szCs w:val="32"/>
        </w:rPr>
      </w:pPr>
      <w:r>
        <w:rPr>
          <w:rFonts w:hint="eastAsia" w:cs="仿宋_GB2312"/>
          <w:b/>
          <w:bCs/>
          <w:szCs w:val="32"/>
        </w:rPr>
        <w:t>2.依法维护妇女儿童合法权益。</w:t>
      </w:r>
      <w:r>
        <w:rPr>
          <w:rFonts w:hint="eastAsia" w:cs="仿宋_GB2312"/>
          <w:szCs w:val="32"/>
        </w:rPr>
        <w:t>2021年1月1日—2021年12月31日，自贡市妇联共接待信访53例，信访回复率100%。</w:t>
      </w:r>
    </w:p>
    <w:p>
      <w:pPr>
        <w:spacing w:line="590" w:lineRule="exact"/>
        <w:ind w:firstLine="643" w:firstLineChars="200"/>
        <w:rPr>
          <w:color w:val="000000"/>
          <w:szCs w:val="32"/>
        </w:rPr>
      </w:pPr>
      <w:r>
        <w:rPr>
          <w:rFonts w:hint="eastAsia" w:cs="仿宋_GB2312"/>
          <w:b/>
          <w:bCs/>
          <w:szCs w:val="32"/>
        </w:rPr>
        <w:t>3.评优评先发挥榜样带动作用。</w:t>
      </w:r>
      <w:r>
        <w:rPr>
          <w:rFonts w:hint="eastAsia"/>
          <w:spacing w:val="-6"/>
          <w:szCs w:val="32"/>
        </w:rPr>
        <w:t>创树典型，推荐获评全国维护妇女儿童权益先进集体1个、全国维护妇女儿童权益先进个人1名、四川省三八红旗手5名、三八红旗集体3个、四川省维护妇女儿童权益先进集体7个、四川省维护妇女儿童权益先进个人7名，引领妇女</w:t>
      </w:r>
      <w:r>
        <w:rPr>
          <w:rFonts w:hint="eastAsia" w:cs="仿宋"/>
          <w:szCs w:val="32"/>
        </w:rPr>
        <w:t>成为</w:t>
      </w:r>
      <w:r>
        <w:rPr>
          <w:rFonts w:hint="eastAsia"/>
          <w:color w:val="000000"/>
          <w:szCs w:val="32"/>
        </w:rPr>
        <w:t>推动我市经济社会发展的中流砥柱。</w:t>
      </w:r>
    </w:p>
    <w:p>
      <w:pPr>
        <w:ind w:firstLine="643" w:firstLineChars="200"/>
        <w:rPr>
          <w:rFonts w:eastAsia="楷体_GB2312" w:cs="楷体_GB2312"/>
          <w:b/>
          <w:bCs/>
          <w:szCs w:val="32"/>
        </w:rPr>
      </w:pPr>
      <w:r>
        <w:rPr>
          <w:rFonts w:hint="eastAsia" w:eastAsia="楷体_GB2312" w:cs="楷体_GB2312"/>
          <w:b/>
          <w:bCs/>
          <w:szCs w:val="32"/>
        </w:rPr>
        <w:t>（二）项目效益情况</w:t>
      </w:r>
    </w:p>
    <w:p>
      <w:pPr>
        <w:ind w:firstLine="640" w:firstLineChars="200"/>
        <w:rPr>
          <w:rFonts w:cs="仿宋_GB2312"/>
          <w:szCs w:val="32"/>
        </w:rPr>
      </w:pPr>
      <w:r>
        <w:rPr>
          <w:rFonts w:hint="eastAsia" w:cs="仿宋_GB2312"/>
          <w:szCs w:val="32"/>
        </w:rPr>
        <w:t>该项目在实施过程中，严格按照项目绩效目标开展各项工作。</w:t>
      </w:r>
    </w:p>
    <w:p>
      <w:pPr>
        <w:spacing w:line="580" w:lineRule="exact"/>
        <w:ind w:firstLine="643" w:firstLineChars="200"/>
        <w:rPr>
          <w:szCs w:val="32"/>
        </w:rPr>
      </w:pPr>
      <w:r>
        <w:rPr>
          <w:rFonts w:hint="eastAsia" w:cs="仿宋_GB2312"/>
          <w:b/>
          <w:bCs/>
          <w:szCs w:val="32"/>
        </w:rPr>
        <w:t>1.创新开展妇女思想引领工作。</w:t>
      </w:r>
      <w:r>
        <w:rPr>
          <w:rFonts w:hint="eastAsia" w:cs="仿宋_GB2312"/>
          <w:szCs w:val="32"/>
        </w:rPr>
        <w:t>自贡市妇联深刻把握和积极践行“引领服务联系妇女群众”的内涵和要求，开展线上线下思想引领工作，充分发挥“妇”字号特色的“一微一网一平台”新媒体网络矩阵力量，组织开展</w:t>
      </w:r>
      <w:r>
        <w:rPr>
          <w:rFonts w:hint="eastAsia" w:cs="仿宋_GB2312"/>
          <w:bCs/>
          <w:color w:val="000000" w:themeColor="text1"/>
          <w:szCs w:val="32"/>
          <w14:textFill>
            <w14:solidFill>
              <w14:schemeClr w14:val="tx1"/>
            </w14:solidFill>
          </w14:textFill>
        </w:rPr>
        <w:t>“巾帼心向党 奋斗新征程”为主题的各类妇女思想引领活动、</w:t>
      </w:r>
      <w:r>
        <w:rPr>
          <w:rFonts w:hint="eastAsia" w:cs="仿宋_GB2312"/>
          <w:szCs w:val="32"/>
        </w:rPr>
        <w:t>“百千万巾帼大宣讲”、“巾帼心向党思想引领法治讲堂”等各类活动及讲座，推动妇联组织和妇联工作切实增强政治性先进性群众性，更好地发挥了桥梁纽带和得力助手作用。</w:t>
      </w:r>
    </w:p>
    <w:p>
      <w:pPr>
        <w:pStyle w:val="7"/>
        <w:spacing w:before="131"/>
        <w:ind w:firstLine="643" w:firstLineChars="200"/>
        <w:rPr>
          <w:rFonts w:ascii="Times New Roman" w:cs="仿宋_GB2312"/>
          <w:sz w:val="32"/>
          <w:szCs w:val="32"/>
        </w:rPr>
      </w:pPr>
      <w:r>
        <w:rPr>
          <w:rFonts w:hint="eastAsia" w:ascii="Times New Roman" w:cs="仿宋_GB2312"/>
          <w:b/>
          <w:bCs/>
          <w:sz w:val="32"/>
          <w:szCs w:val="32"/>
        </w:rPr>
        <w:t>2.依法维护妇女儿童合法权益。</w:t>
      </w:r>
      <w:r>
        <w:rPr>
          <w:rFonts w:hint="eastAsia" w:ascii="Times New Roman" w:cs="仿宋_GB2312"/>
          <w:sz w:val="32"/>
          <w:szCs w:val="32"/>
        </w:rPr>
        <w:t>2021年市妇联信访工作推进有序，信访处理率达到100%，全年未有因信访问题办理、现场处置不力导致被上级通报、舆论负面炒作的情况；未有造成群体性事件或极端恶性事件发生的情况；未发生现场处置不力导致矛盾激化、或造成明显负面影响或被上级通报批评的情况；无因信访事项化解责任引发进京非正常上访的情况；未发生到省、进京集访非访重复访的情况。</w:t>
      </w:r>
    </w:p>
    <w:p>
      <w:pPr>
        <w:ind w:firstLine="643" w:firstLineChars="200"/>
      </w:pPr>
      <w:r>
        <w:rPr>
          <w:rFonts w:hint="eastAsia" w:cs="仿宋_GB2312"/>
          <w:b/>
          <w:bCs/>
          <w:szCs w:val="32"/>
        </w:rPr>
        <w:t>3.评优评先发挥榜样带动作用。</w:t>
      </w:r>
      <w:r>
        <w:rPr>
          <w:rFonts w:hint="eastAsia" w:cs="仿宋_GB2312"/>
          <w:szCs w:val="32"/>
        </w:rPr>
        <w:t>为进一步激励全市妇女保持昂扬斗志、弘扬奋斗精神，自贡市妇联通过</w:t>
      </w:r>
      <w:r>
        <w:rPr>
          <w:rFonts w:hint="eastAsia"/>
          <w:spacing w:val="-6"/>
          <w:szCs w:val="32"/>
        </w:rPr>
        <w:t>评选全国、省、市三八红旗手（集体）</w:t>
      </w:r>
      <w:r>
        <w:rPr>
          <w:rFonts w:hint="eastAsia" w:cs="仿宋_GB2312"/>
          <w:szCs w:val="32"/>
        </w:rPr>
        <w:t>，积极引导</w:t>
      </w:r>
      <w:r>
        <w:rPr>
          <w:rFonts w:hint="eastAsia"/>
          <w:szCs w:val="32"/>
        </w:rPr>
        <w:t>盐都广大妇女和女性团队以先进典型为榜样，大力弘扬自尊、自信、自立、自强的时代精神，与新时代同行、为新目标奋进、在新征程建功，</w:t>
      </w:r>
      <w:r>
        <w:rPr>
          <w:rFonts w:hint="eastAsia" w:cs="仿宋_GB2312"/>
          <w:color w:val="000000"/>
          <w:szCs w:val="32"/>
        </w:rPr>
        <w:t>奋力夺取疫情防控和经济社会发展双胜利，为全面建成小康社会奉献巾帼力量</w:t>
      </w:r>
      <w:r>
        <w:rPr>
          <w:rFonts w:hint="eastAsia"/>
          <w:szCs w:val="32"/>
        </w:rPr>
        <w:t>。</w:t>
      </w:r>
    </w:p>
    <w:p>
      <w:pPr>
        <w:adjustRightInd w:val="0"/>
        <w:snapToGrid w:val="0"/>
        <w:spacing w:line="560" w:lineRule="exact"/>
        <w:ind w:firstLine="720"/>
        <w:rPr>
          <w:rFonts w:eastAsia="黑体"/>
        </w:rPr>
      </w:pPr>
      <w:r>
        <w:rPr>
          <w:rFonts w:hint="eastAsia" w:eastAsia="黑体" w:cs="黑体"/>
          <w:lang w:bidi="ar"/>
        </w:rPr>
        <w:t>四、问题及建议</w:t>
      </w:r>
    </w:p>
    <w:p>
      <w:pPr>
        <w:adjustRightInd w:val="0"/>
        <w:snapToGrid w:val="0"/>
        <w:spacing w:line="560" w:lineRule="exact"/>
        <w:ind w:firstLine="720"/>
        <w:rPr>
          <w:szCs w:val="32"/>
          <w:lang w:val="zh-CN"/>
        </w:rPr>
      </w:pPr>
      <w:r>
        <w:rPr>
          <w:rFonts w:hint="eastAsia" w:eastAsia="楷体_GB2312" w:cs="楷体_GB2312"/>
          <w:b/>
          <w:lang w:val="zh-CN" w:bidi="ar"/>
        </w:rPr>
        <w:t>（一）存在的问题。</w:t>
      </w:r>
      <w:r>
        <w:rPr>
          <w:rFonts w:hint="eastAsia"/>
          <w:szCs w:val="32"/>
        </w:rPr>
        <w:t>对妇女法治意识和家庭责任感的宣传教育有待提升</w:t>
      </w:r>
      <w:r>
        <w:rPr>
          <w:rFonts w:hint="eastAsia"/>
          <w:szCs w:val="32"/>
          <w:lang w:val="zh-CN"/>
        </w:rPr>
        <w:t>。</w:t>
      </w:r>
    </w:p>
    <w:p>
      <w:pPr>
        <w:adjustRightInd w:val="0"/>
        <w:snapToGrid w:val="0"/>
        <w:spacing w:line="560" w:lineRule="exact"/>
        <w:ind w:firstLine="720"/>
        <w:rPr>
          <w:rFonts w:eastAsia="黑体" w:cs="黑体"/>
          <w:lang w:bidi="ar"/>
        </w:rPr>
      </w:pPr>
      <w:r>
        <w:rPr>
          <w:rFonts w:hint="eastAsia" w:eastAsia="楷体_GB2312" w:cs="楷体_GB2312"/>
          <w:b/>
          <w:lang w:val="zh-CN" w:bidi="ar"/>
        </w:rPr>
        <w:t>（二）相关建议。</w:t>
      </w:r>
      <w:r>
        <w:rPr>
          <w:rFonts w:hint="eastAsia"/>
          <w:szCs w:val="32"/>
        </w:rPr>
        <w:t>常态化的推进妇女法治宣传教育，引导妇女依法维权意识，还要引导相关当事人加强家庭建设，提升法治思维</w:t>
      </w:r>
      <w:r>
        <w:rPr>
          <w:rFonts w:hint="eastAsia" w:cs="仿宋_GB2312"/>
          <w:szCs w:val="32"/>
        </w:rPr>
        <w:t>。</w:t>
      </w:r>
    </w:p>
    <w:p/>
    <w:p>
      <w:pPr>
        <w:ind w:firstLine="643" w:firstLineChars="200"/>
        <w:rPr>
          <w:rFonts w:cs="仿宋_GB2312"/>
          <w:b/>
          <w:bCs/>
          <w:szCs w:val="32"/>
        </w:rPr>
      </w:pPr>
    </w:p>
    <w:p>
      <w:pPr>
        <w:ind w:firstLine="640" w:firstLineChars="200"/>
        <w:rPr>
          <w:szCs w:val="32"/>
        </w:rPr>
      </w:pPr>
    </w:p>
    <w:p>
      <w:pPr>
        <w:rPr>
          <w:rFonts w:cs="仿宋_GB2312"/>
          <w:szCs w:val="32"/>
        </w:rPr>
      </w:pPr>
    </w:p>
    <w:p>
      <w:pPr>
        <w:pStyle w:val="7"/>
        <w:spacing w:before="131"/>
        <w:rPr>
          <w:rFonts w:ascii="Times New Roman" w:cs="仿宋_GB2312"/>
          <w:sz w:val="32"/>
          <w:szCs w:val="32"/>
        </w:rPr>
      </w:pPr>
    </w:p>
    <w:p>
      <w:pPr>
        <w:pStyle w:val="7"/>
        <w:spacing w:before="131"/>
        <w:rPr>
          <w:rFonts w:ascii="Times New Roman"/>
          <w:lang w:val="zh-CN"/>
        </w:rPr>
      </w:pPr>
    </w:p>
    <w:p>
      <w:pPr>
        <w:rPr>
          <w:lang w:val="zh-CN"/>
        </w:rPr>
      </w:pPr>
    </w:p>
    <w:p>
      <w:pPr>
        <w:pStyle w:val="7"/>
        <w:spacing w:before="131"/>
        <w:rPr>
          <w:rFonts w:ascii="Times New Roman"/>
          <w:lang w:val="zh-CN"/>
        </w:rPr>
      </w:pPr>
    </w:p>
    <w:p>
      <w:pPr>
        <w:rPr>
          <w:lang w:val="zh-CN"/>
        </w:rPr>
      </w:pPr>
    </w:p>
    <w:p>
      <w:pPr>
        <w:pStyle w:val="7"/>
        <w:spacing w:before="131"/>
        <w:rPr>
          <w:rFonts w:ascii="Times New Roman"/>
          <w:lang w:val="zh-CN"/>
        </w:rPr>
      </w:pPr>
    </w:p>
    <w:p>
      <w:pPr>
        <w:rPr>
          <w:lang w:val="zh-CN"/>
        </w:rPr>
      </w:pPr>
    </w:p>
    <w:p>
      <w:pPr>
        <w:pStyle w:val="21"/>
        <w:spacing w:line="580" w:lineRule="exact"/>
        <w:ind w:firstLine="883"/>
        <w:jc w:val="center"/>
        <w:rPr>
          <w:rFonts w:ascii="Times New Roman" w:hAnsi="Times New Roman" w:eastAsia="方正小标宋简体" w:cs="方正小标宋简体"/>
          <w:sz w:val="44"/>
          <w:szCs w:val="44"/>
        </w:rPr>
      </w:pPr>
    </w:p>
    <w:p>
      <w:pPr>
        <w:pStyle w:val="21"/>
        <w:spacing w:line="580" w:lineRule="exact"/>
        <w:ind w:firstLine="883"/>
        <w:jc w:val="center"/>
        <w:rPr>
          <w:rFonts w:ascii="Times New Roman" w:hAnsi="Times New Roman" w:eastAsia="方正小标宋简体" w:cs="方正小标宋简体"/>
          <w:sz w:val="44"/>
          <w:szCs w:val="44"/>
        </w:rPr>
      </w:pPr>
    </w:p>
    <w:p>
      <w:pPr>
        <w:pStyle w:val="21"/>
        <w:spacing w:line="580" w:lineRule="exact"/>
        <w:ind w:firstLine="883"/>
        <w:jc w:val="center"/>
        <w:rPr>
          <w:rFonts w:ascii="Times New Roman" w:hAnsi="Times New Roman" w:eastAsia="方正小标宋简体" w:cs="方正小标宋简体"/>
          <w:sz w:val="44"/>
          <w:szCs w:val="44"/>
        </w:rPr>
      </w:pPr>
    </w:p>
    <w:p>
      <w:pPr>
        <w:pStyle w:val="21"/>
        <w:spacing w:line="580" w:lineRule="exact"/>
        <w:ind w:firstLine="883"/>
        <w:jc w:val="center"/>
        <w:rPr>
          <w:rFonts w:ascii="Times New Roman" w:hAnsi="Times New Roman" w:eastAsia="方正小标宋简体" w:cs="方正小标宋简体"/>
          <w:sz w:val="44"/>
          <w:szCs w:val="44"/>
        </w:rPr>
      </w:pPr>
    </w:p>
    <w:p>
      <w:pPr>
        <w:pStyle w:val="21"/>
        <w:spacing w:line="580" w:lineRule="exact"/>
        <w:ind w:firstLine="883"/>
        <w:jc w:val="center"/>
        <w:rPr>
          <w:rFonts w:ascii="Times New Roman" w:hAnsi="Times New Roman" w:eastAsia="方正小标宋简体" w:cs="方正小标宋简体"/>
          <w:sz w:val="44"/>
          <w:szCs w:val="44"/>
        </w:rPr>
      </w:pPr>
    </w:p>
    <w:p>
      <w:pPr>
        <w:pStyle w:val="21"/>
        <w:spacing w:line="580" w:lineRule="exact"/>
        <w:ind w:firstLine="883"/>
        <w:jc w:val="center"/>
        <w:rPr>
          <w:rFonts w:ascii="Times New Roman" w:hAnsi="Times New Roman" w:eastAsia="方正小标宋简体" w:cs="方正小标宋简体"/>
          <w:sz w:val="44"/>
          <w:szCs w:val="44"/>
        </w:rPr>
      </w:pPr>
    </w:p>
    <w:p>
      <w:pPr>
        <w:pStyle w:val="21"/>
        <w:spacing w:line="580" w:lineRule="exact"/>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（幸福家庭行动项目）</w:t>
      </w:r>
    </w:p>
    <w:p>
      <w:pPr>
        <w:adjustRightInd w:val="0"/>
        <w:snapToGrid w:val="0"/>
        <w:spacing w:line="580" w:lineRule="exact"/>
        <w:ind w:firstLine="720"/>
        <w:rPr>
          <w:rFonts w:eastAsia="黑体"/>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16</w:t>
      </w:r>
      <w:r>
        <w:rPr>
          <w:rFonts w:hint="eastAsia" w:cs="仿宋_GB2312"/>
          <w:lang w:val="zh-CN" w:bidi="ar"/>
        </w:rPr>
        <w:t>万元，市财政局批复</w:t>
      </w:r>
      <w:r>
        <w:rPr>
          <w:rFonts w:hint="eastAsia" w:cs="仿宋_GB2312"/>
          <w:lang w:bidi="ar"/>
        </w:rPr>
        <w:t>16</w:t>
      </w:r>
      <w:r>
        <w:rPr>
          <w:rFonts w:hint="eastAsia" w:cs="仿宋_GB2312"/>
          <w:lang w:val="zh-CN" w:bidi="ar"/>
        </w:rPr>
        <w:t>万元，符合一般财政资金管理办法。</w:t>
      </w:r>
    </w:p>
    <w:p>
      <w:pPr>
        <w:adjustRightInd w:val="0"/>
        <w:snapToGrid w:val="0"/>
        <w:spacing w:line="580" w:lineRule="exact"/>
        <w:ind w:firstLine="720"/>
        <w:rPr>
          <w:rFonts w:cs="仿宋_GB2312"/>
          <w:lang w:val="zh-CN" w:bidi="ar"/>
        </w:rPr>
      </w:pPr>
      <w:r>
        <w:rPr>
          <w:rFonts w:hint="eastAsia" w:eastAsia="楷体_GB2312" w:cs="楷体_GB2312"/>
          <w:bCs/>
          <w:lang w:val="zh-CN" w:bidi="ar"/>
        </w:rPr>
        <w:t>（二）项目绩效目标。</w:t>
      </w:r>
      <w:r>
        <w:rPr>
          <w:rFonts w:cs="仿宋_GB2312"/>
          <w:lang w:val="zh-CN" w:bidi="ar"/>
        </w:rPr>
        <w:t>助力文明城市创建，共筑中国梦。开展“传家训家风、创最美家庭”文明家庭创建活动和“亲子阅读”等活动。</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60" w:lineRule="exact"/>
        <w:ind w:firstLine="720"/>
        <w:jc w:val="left"/>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16</w:t>
      </w:r>
      <w:r>
        <w:rPr>
          <w:rFonts w:hint="eastAsia" w:cs="仿宋_GB2312"/>
          <w:lang w:val="zh-CN" w:bidi="ar"/>
        </w:rPr>
        <w:t>万元，实际到位市本级财政资金</w:t>
      </w:r>
      <w:r>
        <w:rPr>
          <w:rFonts w:hint="eastAsia" w:cs="仿宋_GB2312"/>
          <w:lang w:bidi="ar"/>
        </w:rPr>
        <w:t>16</w:t>
      </w:r>
      <w:r>
        <w:rPr>
          <w:rFonts w:hint="eastAsia" w:cs="仿宋_GB2312"/>
          <w:lang w:val="zh-CN" w:bidi="ar"/>
        </w:rPr>
        <w:t>万元。资金到位率100%，资金严格按照项目实施进度及时到位。</w:t>
      </w:r>
    </w:p>
    <w:p>
      <w:pPr>
        <w:adjustRightInd w:val="0"/>
        <w:snapToGrid w:val="0"/>
        <w:spacing w:line="560" w:lineRule="exact"/>
        <w:ind w:firstLine="720"/>
        <w:jc w:val="left"/>
        <w:rPr>
          <w:lang w:val="zh-CN"/>
        </w:rPr>
      </w:pPr>
      <w:r>
        <w:rPr>
          <w:rFonts w:eastAsia="楷体_GB2312"/>
          <w:lang w:val="zh-CN" w:bidi="ar"/>
        </w:rPr>
        <w:t>2</w:t>
      </w:r>
      <w:r>
        <w:rPr>
          <w:rFonts w:hint="eastAsia" w:eastAsia="楷体_GB2312" w:cs="楷体_GB2312"/>
          <w:lang w:val="zh-CN" w:bidi="ar"/>
        </w:rPr>
        <w:t>．资金使用。</w:t>
      </w:r>
      <w:r>
        <w:rPr>
          <w:rFonts w:hint="eastAsia" w:cs="仿宋_GB2312"/>
          <w:lang w:val="zh-CN" w:bidi="ar"/>
        </w:rPr>
        <w:t>截止评价时点项目资金实际支出</w:t>
      </w:r>
      <w:r>
        <w:rPr>
          <w:rFonts w:hint="eastAsia" w:cs="仿宋_GB2312"/>
          <w:lang w:bidi="ar"/>
        </w:rPr>
        <w:t>15.88万</w:t>
      </w:r>
      <w:r>
        <w:rPr>
          <w:rFonts w:hint="eastAsia" w:cs="仿宋_GB2312"/>
          <w:lang w:val="zh-CN" w:bidi="ar"/>
        </w:rPr>
        <w:t>元，用于</w:t>
      </w:r>
      <w:r>
        <w:rPr>
          <w:rFonts w:hint="eastAsia" w:cs="仿宋_GB2312"/>
          <w:lang w:bidi="ar"/>
        </w:rPr>
        <w:t>妇女儿童维权关爱等工作，</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80" w:lineRule="exact"/>
        <w:ind w:firstLine="720"/>
        <w:rPr>
          <w:rFonts w:cs="仿宋_GB2312"/>
          <w:lang w:val="zh-CN" w:bidi="ar"/>
        </w:rPr>
      </w:pPr>
      <w:r>
        <w:rPr>
          <w:rFonts w:hint="eastAsia" w:cs="仿宋_GB2312"/>
          <w:lang w:val="zh-CN" w:bidi="ar"/>
        </w:rPr>
        <w:t>该项目由家儿部统一管理，严格按照财务管理等相关制度进行申报、审批，由相关机构、人员进行监督，确保资金的合理规范使用和项目绩效目标的圆满完成。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bCs/>
          <w:kern w:val="0"/>
          <w:szCs w:val="32"/>
          <w:lang w:bidi="ar"/>
        </w:rPr>
        <w:t>为进一步发挥妇女在弘扬中华民族家庭美德、树立良好家风方面的独特作用，市纪委机关、市创文办、市委组织部、市委宣传部、市妇联等13个部门在全市联合开展2021年“向幸福出发——寻找最美家庭 传承家训家风”家庭文明创建活动，活动共设置“爱党爱国”“乡村振兴”“孝爱和乐”“勤俭自强”“扶贫助困”“爱岗敬业”“尊师重教”“重义守信”“书香文明”“移风易俗”十个类型最美家庭，活动从5月起贯穿全年，引导广大家庭建设好家庭、涵养好家教、培育好家风，厚植家国情怀，以优异成绩庆祝建党100周年。</w:t>
      </w:r>
    </w:p>
    <w:p>
      <w:pPr>
        <w:adjustRightInd w:val="0"/>
        <w:snapToGrid w:val="0"/>
        <w:spacing w:line="580" w:lineRule="exact"/>
        <w:ind w:left="720"/>
        <w:rPr>
          <w:rFonts w:eastAsia="楷体_GB2312" w:cs="楷体_GB2312"/>
          <w:bCs/>
          <w:lang w:val="zh-CN" w:bidi="ar"/>
        </w:rPr>
      </w:pPr>
      <w:r>
        <w:rPr>
          <w:rFonts w:hint="eastAsia" w:eastAsia="楷体_GB2312" w:cs="楷体_GB2312"/>
          <w:bCs/>
          <w:lang w:val="zh-CN" w:bidi="ar"/>
        </w:rPr>
        <w:t>（二）项目效益情况。</w:t>
      </w:r>
    </w:p>
    <w:p>
      <w:pPr>
        <w:adjustRightInd w:val="0"/>
        <w:snapToGrid w:val="0"/>
        <w:spacing w:line="580" w:lineRule="exact"/>
        <w:ind w:firstLine="640" w:firstLineChars="200"/>
        <w:rPr>
          <w:rFonts w:cs="仿宋_GB2312"/>
          <w:bCs/>
          <w:kern w:val="0"/>
          <w:szCs w:val="32"/>
          <w:lang w:bidi="ar"/>
        </w:rPr>
      </w:pPr>
      <w:r>
        <w:rPr>
          <w:rFonts w:hint="eastAsia" w:cs="仿宋_GB2312"/>
          <w:bCs/>
          <w:kern w:val="0"/>
          <w:szCs w:val="32"/>
          <w:lang w:bidi="ar"/>
        </w:rPr>
        <w:t>成功推荐全国最美家庭2户庭、成功推荐全省最美家庭4户和全省最美家庭提名家庭1户，通过座谈会、新媒体进行最美家庭故事宣传。为进一步发挥妇女在弘扬中华民族家庭美德、树立良好家风方面的独特作用，市纪委机关、市创文办、市委组织部、市委宣传部、市妇联等13个部门在全市联合开展2021年“向幸福出发——寻找最美家庭 传承家训家风”家庭文明创建活动，选树</w:t>
      </w:r>
      <w:r>
        <w:rPr>
          <w:rFonts w:hint="eastAsia" w:cs="仿宋_GB2312"/>
          <w:lang w:val="zh-CN" w:bidi="ar"/>
        </w:rPr>
        <w:t>自贡市“最美家庭”</w:t>
      </w:r>
      <w:r>
        <w:rPr>
          <w:rFonts w:hint="eastAsia" w:cs="仿宋_GB2312"/>
          <w:lang w:bidi="ar"/>
        </w:rPr>
        <w:t>30</w:t>
      </w:r>
      <w:r>
        <w:rPr>
          <w:rFonts w:hint="eastAsia" w:cs="仿宋_GB2312"/>
          <w:lang w:val="zh-CN" w:bidi="ar"/>
        </w:rPr>
        <w:t>户。</w:t>
      </w:r>
    </w:p>
    <w:p>
      <w:pPr>
        <w:adjustRightInd w:val="0"/>
        <w:snapToGrid w:val="0"/>
        <w:spacing w:line="580" w:lineRule="exact"/>
        <w:ind w:firstLine="643" w:firstLineChars="200"/>
        <w:rPr>
          <w:rFonts w:eastAsia="楷体_GB2312"/>
          <w:b/>
          <w:lang w:val="zh-CN"/>
        </w:rPr>
      </w:pPr>
      <w:r>
        <w:rPr>
          <w:rFonts w:cs="仿宋_GB2312"/>
          <w:b/>
          <w:bCs/>
          <w:szCs w:val="32"/>
        </w:rPr>
        <w:t>一是打造</w:t>
      </w:r>
      <w:r>
        <w:rPr>
          <w:rFonts w:hint="eastAsia" w:cs="仿宋_GB2312"/>
          <w:b/>
          <w:bCs/>
          <w:szCs w:val="32"/>
        </w:rPr>
        <w:t>“家校社”</w:t>
      </w:r>
      <w:r>
        <w:rPr>
          <w:rFonts w:cs="仿宋_GB2312"/>
          <w:b/>
          <w:bCs/>
          <w:szCs w:val="32"/>
        </w:rPr>
        <w:t>共育新格局。</w:t>
      </w:r>
      <w:r>
        <w:rPr>
          <w:kern w:val="0"/>
          <w:szCs w:val="32"/>
        </w:rPr>
        <w:t>2021年，市妇联</w:t>
      </w:r>
      <w:r>
        <w:rPr>
          <w:rFonts w:hint="eastAsia"/>
          <w:kern w:val="0"/>
          <w:szCs w:val="32"/>
        </w:rPr>
        <w:t>联合市教体局、市民政局“三方”签订《自贡市“家校社”协同育人战略合作框架协议》，共同推动构建自贡市家庭学校社会协同育人新格局，共同发动开展亲子阅读50场，参与人次达到1500人次；全市社区家长学校覆盖率达到100%，参加社区家长学校培训的居民满意度超过 90%。</w:t>
      </w:r>
      <w:r>
        <w:rPr>
          <w:rFonts w:cs="仿宋_GB2312"/>
          <w:b/>
          <w:bCs/>
          <w:szCs w:val="32"/>
        </w:rPr>
        <w:t>二是推动信息化为儿童服务。</w:t>
      </w:r>
      <w:r>
        <w:rPr>
          <w:rFonts w:hint="eastAsia" w:cs="仿宋_GB2312"/>
          <w:szCs w:val="32"/>
        </w:rPr>
        <w:t>积极联合中国移动自贡分公司</w:t>
      </w:r>
      <w:r>
        <w:rPr>
          <w:rFonts w:cs="仿宋_GB2312"/>
          <w:szCs w:val="32"/>
        </w:rPr>
        <w:t>、中国人寿自贡市分公司</w:t>
      </w:r>
      <w:r>
        <w:rPr>
          <w:rFonts w:hint="eastAsia" w:cs="仿宋_GB2312"/>
          <w:szCs w:val="32"/>
        </w:rPr>
        <w:t>，签订合作框架协议，</w:t>
      </w:r>
      <w:r>
        <w:rPr>
          <w:rFonts w:cs="仿宋_GB2312"/>
          <w:szCs w:val="32"/>
        </w:rPr>
        <w:t>与市第一人民医院、市妇幼保健院联合开展系列公益活动，</w:t>
      </w:r>
      <w:r>
        <w:rPr>
          <w:rFonts w:hint="eastAsia" w:cs="仿宋_GB2312"/>
          <w:szCs w:val="32"/>
        </w:rPr>
        <w:t>在</w:t>
      </w:r>
      <w:r>
        <w:rPr>
          <w:rFonts w:cs="仿宋_GB2312"/>
          <w:szCs w:val="32"/>
        </w:rPr>
        <w:t>妇联干部人才培养、</w:t>
      </w:r>
      <w:r>
        <w:rPr>
          <w:rFonts w:hint="eastAsia" w:cs="仿宋_GB2312"/>
          <w:szCs w:val="32"/>
        </w:rPr>
        <w:t>妇女儿童阵地建设、</w:t>
      </w:r>
      <w:r>
        <w:rPr>
          <w:rFonts w:cs="仿宋_GB2312"/>
          <w:szCs w:val="32"/>
        </w:rPr>
        <w:t>儿童</w:t>
      </w:r>
      <w:r>
        <w:rPr>
          <w:rFonts w:hint="eastAsia" w:cs="仿宋_GB2312"/>
          <w:szCs w:val="32"/>
        </w:rPr>
        <w:t>互联网使用、家庭文明建设等方面</w:t>
      </w:r>
      <w:r>
        <w:rPr>
          <w:rFonts w:cs="仿宋_GB2312"/>
          <w:szCs w:val="32"/>
        </w:rPr>
        <w:t>深度</w:t>
      </w:r>
      <w:r>
        <w:rPr>
          <w:rFonts w:hint="eastAsia" w:cs="仿宋_GB2312"/>
          <w:szCs w:val="32"/>
        </w:rPr>
        <w:t>合作，推动现代化信息化技术为家庭</w:t>
      </w:r>
      <w:r>
        <w:rPr>
          <w:rFonts w:cs="仿宋_GB2312"/>
          <w:szCs w:val="32"/>
        </w:rPr>
        <w:t>儿童</w:t>
      </w:r>
      <w:r>
        <w:rPr>
          <w:rFonts w:hint="eastAsia" w:cs="仿宋_GB2312"/>
          <w:szCs w:val="32"/>
        </w:rPr>
        <w:t>服务。</w:t>
      </w:r>
      <w:r>
        <w:rPr>
          <w:rFonts w:cs="仿宋_GB2312"/>
          <w:b/>
          <w:bCs/>
          <w:szCs w:val="32"/>
        </w:rPr>
        <w:t>三是建立服务儿童教育队伍。</w:t>
      </w:r>
      <w:r>
        <w:rPr>
          <w:rFonts w:hint="eastAsia"/>
          <w:kern w:val="0"/>
          <w:szCs w:val="32"/>
        </w:rPr>
        <w:t>联合四川轻化工大学、市委党校、自贡蜀光中学等，组建新一轮自贡市家庭教育研究会暨家庭教育骨干师资队伍，为精准做好家庭教育指导服务提供智力支持，</w:t>
      </w:r>
      <w:r>
        <w:rPr>
          <w:rFonts w:hint="eastAsia" w:cs="仿宋_GB2312"/>
          <w:lang w:val="zh-CN" w:bidi="ar"/>
        </w:rPr>
        <w:t>举办“幸福使者•母亲课堂”家庭教育讲座300场</w:t>
      </w:r>
      <w:r>
        <w:rPr>
          <w:rFonts w:hint="eastAsia"/>
          <w:kern w:val="0"/>
          <w:szCs w:val="32"/>
        </w:rPr>
        <w:t>。</w:t>
      </w:r>
      <w:r>
        <w:rPr>
          <w:rFonts w:cs="仿宋_GB2312"/>
          <w:b/>
          <w:bCs/>
          <w:szCs w:val="32"/>
        </w:rPr>
        <w:t>四是联合社会组织参与儿童活动。</w:t>
      </w:r>
      <w:r>
        <w:rPr>
          <w:rFonts w:hint="eastAsia" w:cs="仿宋_GB2312"/>
          <w:szCs w:val="32"/>
        </w:rPr>
        <w:t>共同推进“儿童类”社会组织和志愿者队伍等方面工作开展积极合作</w:t>
      </w:r>
      <w:r>
        <w:rPr>
          <w:rFonts w:cs="仿宋_GB2312"/>
          <w:szCs w:val="32"/>
        </w:rPr>
        <w:t>，打造了紫薇花家庭微公益、家庭教育辩论赛、“龙龙”课堂、</w:t>
      </w:r>
      <w:r>
        <w:rPr>
          <w:rFonts w:hint="eastAsia" w:cs="仿宋_GB2312"/>
          <w:szCs w:val="32"/>
        </w:rPr>
        <w:t>科学家教走进田园农家、</w:t>
      </w:r>
      <w:r>
        <w:rPr>
          <w:rFonts w:cs="仿宋_GB2312"/>
          <w:szCs w:val="32"/>
        </w:rPr>
        <w:t>盐都家庭教育公开课等一系列服务儿童公益项目品牌，积极推动社会参与青少年成长</w:t>
      </w:r>
      <w:r>
        <w:rPr>
          <w:rFonts w:hint="eastAsia" w:cs="仿宋_GB2312"/>
          <w:lang w:val="zh-CN" w:bidi="ar"/>
        </w:rPr>
        <w:t>。</w:t>
      </w:r>
      <w:r>
        <w:rPr>
          <w:rFonts w:hint="eastAsia" w:cs="仿宋_GB2312"/>
          <w:b/>
          <w:bCs/>
          <w:szCs w:val="32"/>
        </w:rPr>
        <w:t>五是</w:t>
      </w:r>
      <w:r>
        <w:rPr>
          <w:rFonts w:cs="仿宋_GB2312"/>
          <w:b/>
          <w:bCs/>
          <w:szCs w:val="32"/>
        </w:rPr>
        <w:t>打造妇联特色儿童实践活动</w:t>
      </w:r>
      <w:r>
        <w:rPr>
          <w:rFonts w:hint="eastAsia" w:cs="仿宋_GB2312"/>
          <w:b/>
          <w:bCs/>
          <w:szCs w:val="32"/>
        </w:rPr>
        <w:t>。</w:t>
      </w:r>
      <w:r>
        <w:rPr>
          <w:rFonts w:hint="eastAsia"/>
          <w:color w:val="000000"/>
          <w:szCs w:val="32"/>
        </w:rPr>
        <w:t>我会</w:t>
      </w:r>
      <w:r>
        <w:rPr>
          <w:rFonts w:cs="仿宋_GB2312"/>
          <w:szCs w:val="32"/>
        </w:rPr>
        <w:t>通过家庭教育机构、社区家长学校、文明家庭建设等多渠道，</w:t>
      </w:r>
      <w:r>
        <w:rPr>
          <w:rFonts w:hint="eastAsia"/>
          <w:color w:val="000000"/>
          <w:szCs w:val="32"/>
        </w:rPr>
        <w:t>先后开展</w:t>
      </w:r>
      <w:r>
        <w:rPr>
          <w:color w:val="000000"/>
          <w:szCs w:val="32"/>
        </w:rPr>
        <w:t>线下</w:t>
      </w:r>
      <w:r>
        <w:rPr>
          <w:rFonts w:hint="eastAsia" w:cs="仿宋_GB2312"/>
          <w:szCs w:val="32"/>
        </w:rPr>
        <w:t>家庭儿童生命健康安全、性别教育、《民法典》和《未成年人保护法》</w:t>
      </w:r>
      <w:r>
        <w:rPr>
          <w:rFonts w:cs="仿宋_GB2312"/>
          <w:szCs w:val="32"/>
        </w:rPr>
        <w:t>等教育知识讲座，开展线上</w:t>
      </w:r>
      <w:r>
        <w:rPr>
          <w:rFonts w:hint="eastAsia" w:cs="仿宋_GB2312"/>
          <w:szCs w:val="32"/>
        </w:rPr>
        <w:t>“大手拉小手”系列活动、</w:t>
      </w:r>
      <w:r>
        <w:rPr>
          <w:rFonts w:cs="仿宋_GB2312"/>
          <w:szCs w:val="32"/>
        </w:rPr>
        <w:t>“</w:t>
      </w:r>
      <w:r>
        <w:rPr>
          <w:rFonts w:hint="eastAsia" w:cs="仿宋_GB2312"/>
          <w:szCs w:val="32"/>
        </w:rPr>
        <w:t>盐都好家风</w:t>
      </w:r>
      <w:r>
        <w:rPr>
          <w:rFonts w:cs="仿宋_GB2312"/>
          <w:szCs w:val="32"/>
        </w:rPr>
        <w:t>”</w:t>
      </w:r>
      <w:r>
        <w:rPr>
          <w:rFonts w:hint="eastAsia" w:cs="仿宋_GB2312"/>
          <w:szCs w:val="32"/>
        </w:rPr>
        <w:t>线上</w:t>
      </w:r>
      <w:r>
        <w:rPr>
          <w:rFonts w:cs="仿宋_GB2312"/>
          <w:szCs w:val="32"/>
        </w:rPr>
        <w:t>课堂、</w:t>
      </w:r>
      <w:r>
        <w:rPr>
          <w:rFonts w:hint="eastAsia" w:cs="仿宋_GB2312"/>
          <w:szCs w:val="32"/>
        </w:rPr>
        <w:t>推送100本</w:t>
      </w:r>
      <w:r>
        <w:rPr>
          <w:rFonts w:hint="eastAsia" w:cs="仿宋_GB2312"/>
          <w:bCs/>
          <w:kern w:val="0"/>
          <w:szCs w:val="32"/>
          <w:lang w:bidi="ar"/>
        </w:rPr>
        <w:t>家庭红色阅读书目</w:t>
      </w:r>
      <w:r>
        <w:rPr>
          <w:rFonts w:cs="仿宋_GB2312"/>
          <w:szCs w:val="32"/>
        </w:rPr>
        <w:t>，</w:t>
      </w:r>
      <w:r>
        <w:rPr>
          <w:rFonts w:hint="eastAsia" w:cs="仿宋_GB2312"/>
          <w:szCs w:val="32"/>
        </w:rPr>
        <w:t>在市妇联官方微信平台开设“盐都家教微课堂”，推送家庭教育</w:t>
      </w:r>
      <w:r>
        <w:rPr>
          <w:rFonts w:cs="仿宋_GB2312"/>
          <w:szCs w:val="32"/>
        </w:rPr>
        <w:t>公开课</w:t>
      </w:r>
      <w:r>
        <w:rPr>
          <w:rFonts w:hint="eastAsia" w:cs="仿宋_GB2312"/>
          <w:szCs w:val="32"/>
        </w:rPr>
        <w:t>视频</w:t>
      </w:r>
      <w:r>
        <w:rPr>
          <w:rFonts w:cs="仿宋_GB2312"/>
          <w:szCs w:val="32"/>
        </w:rPr>
        <w:t>音频123期，</w:t>
      </w:r>
      <w:r>
        <w:rPr>
          <w:rFonts w:hint="eastAsia" w:cs="仿宋_GB2312"/>
          <w:bCs/>
          <w:kern w:val="0"/>
          <w:szCs w:val="32"/>
          <w:lang w:bidi="ar"/>
        </w:rPr>
        <w:t>参与组织</w:t>
      </w:r>
      <w:r>
        <w:rPr>
          <w:rFonts w:cs="仿宋_GB2312"/>
          <w:bCs/>
          <w:kern w:val="0"/>
          <w:szCs w:val="32"/>
          <w:lang w:bidi="ar"/>
        </w:rPr>
        <w:t>排练</w:t>
      </w:r>
      <w:r>
        <w:rPr>
          <w:rFonts w:hint="eastAsia" w:cs="仿宋_GB2312"/>
          <w:bCs/>
          <w:kern w:val="0"/>
          <w:szCs w:val="32"/>
          <w:lang w:bidi="ar"/>
        </w:rPr>
        <w:t>情景剧《未来有我 江姐精神永流传》</w:t>
      </w:r>
      <w:r>
        <w:rPr>
          <w:rFonts w:hint="eastAsia" w:cs="仿宋_GB2312"/>
          <w:szCs w:val="32"/>
        </w:rPr>
        <w:t>，发布</w:t>
      </w:r>
      <w:r>
        <w:rPr>
          <w:rFonts w:cs="仿宋_GB2312"/>
          <w:szCs w:val="32"/>
        </w:rPr>
        <w:t>我</w:t>
      </w:r>
      <w:r>
        <w:rPr>
          <w:rFonts w:hint="eastAsia" w:cs="仿宋_GB2312"/>
          <w:szCs w:val="32"/>
        </w:rPr>
        <w:t>市8条家庭党史学习教育暨家风家教推荐路线</w:t>
      </w:r>
      <w:r>
        <w:rPr>
          <w:rFonts w:cs="仿宋_GB2312"/>
          <w:szCs w:val="32"/>
        </w:rPr>
        <w:t>，</w:t>
      </w:r>
      <w:r>
        <w:rPr>
          <w:rFonts w:hint="eastAsia" w:cs="仿宋_GB2312"/>
          <w:szCs w:val="32"/>
        </w:rPr>
        <w:t>为全市广大儿童提供</w:t>
      </w:r>
      <w:r>
        <w:rPr>
          <w:rFonts w:cs="仿宋_GB2312"/>
          <w:szCs w:val="32"/>
        </w:rPr>
        <w:t>针对性强、特色鲜明、深受儿童喜爱的</w:t>
      </w:r>
      <w:r>
        <w:rPr>
          <w:rFonts w:hint="eastAsia" w:cs="仿宋_GB2312"/>
          <w:szCs w:val="32"/>
        </w:rPr>
        <w:t>线上</w:t>
      </w:r>
      <w:r>
        <w:rPr>
          <w:rFonts w:cs="仿宋_GB2312"/>
          <w:szCs w:val="32"/>
        </w:rPr>
        <w:t>、线下</w:t>
      </w:r>
      <w:r>
        <w:rPr>
          <w:rFonts w:hint="eastAsia" w:cs="仿宋_GB2312"/>
          <w:szCs w:val="32"/>
        </w:rPr>
        <w:t>服务</w:t>
      </w:r>
      <w:r>
        <w:rPr>
          <w:rFonts w:cs="仿宋_GB2312"/>
          <w:szCs w:val="32"/>
        </w:rPr>
        <w:t>活动，积极发挥妇联弘扬中华民族家庭美德、树立良好家风等方面的独特作用。</w:t>
      </w:r>
    </w:p>
    <w:p>
      <w:pPr>
        <w:adjustRightInd w:val="0"/>
        <w:snapToGrid w:val="0"/>
        <w:spacing w:line="580" w:lineRule="exact"/>
        <w:ind w:firstLine="720"/>
        <w:rPr>
          <w:rFonts w:eastAsia="黑体"/>
        </w:rPr>
      </w:pPr>
      <w:r>
        <w:rPr>
          <w:rFonts w:hint="eastAsia" w:eastAsia="黑体" w:cs="黑体"/>
          <w:lang w:bidi="ar"/>
        </w:rPr>
        <w:t>四、问题及建议</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（一）存在的问题。</w:t>
      </w:r>
    </w:p>
    <w:p>
      <w:pPr>
        <w:adjustRightInd w:val="0"/>
        <w:snapToGrid w:val="0"/>
        <w:spacing w:line="580" w:lineRule="exact"/>
        <w:ind w:firstLine="640" w:firstLineChars="200"/>
        <w:rPr>
          <w:rFonts w:cs="仿宋_GB2312"/>
          <w:szCs w:val="32"/>
        </w:rPr>
      </w:pPr>
      <w:r>
        <w:rPr>
          <w:rFonts w:hint="eastAsia" w:cs="仿宋_GB2312"/>
          <w:szCs w:val="32"/>
          <w:lang w:val="zh-CN"/>
        </w:rPr>
        <w:t>各级“五好家庭”、“优秀家庭”的宣传力度不够，需</w:t>
      </w:r>
      <w:r>
        <w:rPr>
          <w:rFonts w:hint="eastAsia" w:cs="仿宋_GB2312"/>
          <w:szCs w:val="32"/>
        </w:rPr>
        <w:t>要各个部门拓宽渠道共同宣传。</w:t>
      </w:r>
    </w:p>
    <w:p>
      <w:pPr>
        <w:adjustRightInd w:val="0"/>
        <w:snapToGrid w:val="0"/>
        <w:spacing w:line="580" w:lineRule="exact"/>
        <w:ind w:firstLine="720"/>
        <w:rPr>
          <w:rFonts w:eastAsia="黑体" w:cs="黑体"/>
          <w:lang w:bidi="ar"/>
        </w:rPr>
      </w:pPr>
      <w:r>
        <w:rPr>
          <w:rFonts w:hint="eastAsia" w:eastAsia="楷体_GB2312" w:cs="楷体_GB2312"/>
          <w:bCs/>
          <w:lang w:val="zh-CN" w:bidi="ar"/>
        </w:rPr>
        <w:t>（二）相关建议。</w:t>
      </w:r>
    </w:p>
    <w:p>
      <w:pPr>
        <w:adjustRightInd w:val="0"/>
        <w:snapToGrid w:val="0"/>
        <w:spacing w:line="580" w:lineRule="exact"/>
        <w:ind w:firstLine="640" w:firstLineChars="200"/>
        <w:rPr>
          <w:rFonts w:cs="仿宋_GB2312"/>
          <w:szCs w:val="32"/>
          <w:lang w:val="zh-CN"/>
        </w:rPr>
      </w:pPr>
      <w:r>
        <w:rPr>
          <w:rFonts w:hint="eastAsia" w:cs="仿宋_GB2312"/>
          <w:szCs w:val="32"/>
          <w:lang w:val="zh-CN"/>
        </w:rPr>
        <w:t>进一步深入贯彻落实习近平总书记“注重家庭、注重家教、注重家风”的重要讲话精神，加大优良家风事迹的宣传力度，落实好《自贡市“家校社”协同育人战略合作框架协议》。</w:t>
      </w:r>
    </w:p>
    <w:p>
      <w:pPr>
        <w:pStyle w:val="7"/>
        <w:spacing w:before="131"/>
        <w:rPr>
          <w:rFonts w:ascii="Times New Roman"/>
          <w:lang w:val="zh-CN"/>
        </w:rPr>
      </w:pPr>
    </w:p>
    <w:p>
      <w:pPr>
        <w:rPr>
          <w:lang w:val="zh-CN"/>
        </w:rPr>
      </w:pPr>
    </w:p>
    <w:p>
      <w:pPr>
        <w:pStyle w:val="2"/>
        <w:ind w:left="640" w:firstLine="640"/>
        <w:rPr>
          <w:lang w:val="zh-CN"/>
        </w:rPr>
      </w:pPr>
    </w:p>
    <w:p>
      <w:pPr>
        <w:pStyle w:val="2"/>
        <w:ind w:left="0" w:leftChars="0" w:firstLine="0" w:firstLineChars="0"/>
        <w:rPr>
          <w:lang w:val="zh-CN"/>
        </w:rPr>
      </w:pPr>
    </w:p>
    <w:p>
      <w:pPr>
        <w:pStyle w:val="21"/>
        <w:spacing w:line="580" w:lineRule="exact"/>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（综合素质再提升项目）</w:t>
      </w:r>
    </w:p>
    <w:p>
      <w:pPr>
        <w:adjustRightInd w:val="0"/>
        <w:snapToGrid w:val="0"/>
        <w:spacing w:line="580" w:lineRule="exact"/>
        <w:ind w:firstLine="720"/>
        <w:rPr>
          <w:rFonts w:eastAsia="黑体"/>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13</w:t>
      </w:r>
      <w:r>
        <w:rPr>
          <w:rFonts w:hint="eastAsia" w:cs="仿宋_GB2312"/>
          <w:lang w:val="zh-CN" w:bidi="ar"/>
        </w:rPr>
        <w:t>万元，市财政局批复</w:t>
      </w:r>
      <w:r>
        <w:rPr>
          <w:rFonts w:hint="eastAsia" w:cs="仿宋_GB2312"/>
          <w:lang w:bidi="ar"/>
        </w:rPr>
        <w:t>13</w:t>
      </w:r>
      <w:r>
        <w:rPr>
          <w:rFonts w:hint="eastAsia" w:cs="仿宋_GB2312"/>
          <w:lang w:val="zh-CN" w:bidi="ar"/>
        </w:rPr>
        <w:t>万元，符合一般财政资金管理办法。</w:t>
      </w:r>
    </w:p>
    <w:p>
      <w:pPr>
        <w:adjustRightInd w:val="0"/>
        <w:snapToGrid w:val="0"/>
        <w:spacing w:line="580" w:lineRule="exact"/>
        <w:ind w:firstLine="720"/>
        <w:rPr>
          <w:lang w:val="zh-CN"/>
        </w:rPr>
      </w:pPr>
      <w:r>
        <w:rPr>
          <w:rFonts w:hint="eastAsia" w:eastAsia="楷体_GB2312" w:cs="楷体_GB2312"/>
          <w:bCs/>
          <w:lang w:val="zh-CN" w:bidi="ar"/>
        </w:rPr>
        <w:t>（二）项目绩效目标。</w:t>
      </w:r>
      <w:r>
        <w:rPr>
          <w:rFonts w:cs="仿宋_GB2312"/>
          <w:lang w:val="zh-CN" w:bidi="ar"/>
        </w:rPr>
        <w:t>持续实施“基层妇联领头雁行动计划”，增强做好新时代妇女群众工作的本领</w:t>
      </w:r>
      <w:r>
        <w:rPr>
          <w:rFonts w:hint="eastAsia" w:cs="仿宋_GB2312"/>
          <w:lang w:val="zh-CN" w:bidi="ar"/>
        </w:rPr>
        <w:t>。</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80" w:lineRule="exact"/>
        <w:ind w:firstLine="720"/>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13</w:t>
      </w:r>
      <w:r>
        <w:rPr>
          <w:rFonts w:hint="eastAsia" w:cs="仿宋_GB2312"/>
          <w:lang w:val="zh-CN" w:bidi="ar"/>
        </w:rPr>
        <w:t>万元，实际到位市本级财政资金</w:t>
      </w:r>
      <w:r>
        <w:rPr>
          <w:rFonts w:hint="eastAsia" w:cs="仿宋_GB2312"/>
          <w:lang w:bidi="ar"/>
        </w:rPr>
        <w:t>13</w:t>
      </w:r>
      <w:r>
        <w:rPr>
          <w:rFonts w:hint="eastAsia" w:cs="仿宋_GB2312"/>
          <w:lang w:val="zh-CN" w:bidi="ar"/>
        </w:rPr>
        <w:t>万元。资金到位率100%，资金严格按照项目实施进度及时到位。</w:t>
      </w:r>
    </w:p>
    <w:p>
      <w:pPr>
        <w:adjustRightInd w:val="0"/>
        <w:snapToGrid w:val="0"/>
        <w:spacing w:line="560" w:lineRule="exact"/>
        <w:ind w:firstLine="720"/>
        <w:rPr>
          <w:lang w:val="zh-CN"/>
        </w:rPr>
      </w:pPr>
      <w:r>
        <w:rPr>
          <w:rFonts w:eastAsia="楷体_GB2312"/>
          <w:lang w:val="zh-CN" w:bidi="ar"/>
        </w:rPr>
        <w:t>2</w:t>
      </w:r>
      <w:r>
        <w:rPr>
          <w:rFonts w:hint="eastAsia" w:eastAsia="楷体_GB2312" w:cs="楷体_GB2312"/>
          <w:lang w:val="zh-CN" w:bidi="ar"/>
        </w:rPr>
        <w:t>．资金使用。</w:t>
      </w:r>
      <w:r>
        <w:rPr>
          <w:rFonts w:hint="eastAsia" w:cs="仿宋_GB2312"/>
          <w:lang w:val="zh-CN" w:bidi="ar"/>
        </w:rPr>
        <w:t>截止评价时点项目资金实际支出</w:t>
      </w:r>
      <w:r>
        <w:rPr>
          <w:rFonts w:hint="eastAsia" w:cs="仿宋_GB2312"/>
          <w:lang w:bidi="ar"/>
        </w:rPr>
        <w:t>12.98万</w:t>
      </w:r>
      <w:r>
        <w:rPr>
          <w:rFonts w:hint="eastAsia" w:cs="仿宋_GB2312"/>
          <w:lang w:val="zh-CN" w:bidi="ar"/>
        </w:rPr>
        <w:t>元，用于</w:t>
      </w:r>
      <w:r>
        <w:rPr>
          <w:rFonts w:hint="eastAsia" w:cs="仿宋_GB2312"/>
          <w:lang w:bidi="ar"/>
        </w:rPr>
        <w:t>妇女儿童维权关爱等工作，</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60" w:lineRule="exact"/>
        <w:ind w:firstLine="720"/>
        <w:rPr>
          <w:lang w:val="zh-CN"/>
        </w:rPr>
      </w:pPr>
      <w:r>
        <w:rPr>
          <w:rFonts w:hint="eastAsia" w:cs="仿宋_GB2312"/>
          <w:lang w:val="zh-CN" w:bidi="ar"/>
        </w:rPr>
        <w:t>该项目由组织联络部统一管理，严格按照财务管理等相关制度进行申报、审批，由相关机构、人员进行监督，确保资金的合理规范使用和项目绩效目标的圆满完成。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lang w:bidi="ar"/>
        </w:rPr>
        <w:t>2021年，市妇联素质提升行动项目按照</w:t>
      </w:r>
      <w:r>
        <w:rPr>
          <w:rFonts w:hint="eastAsia" w:cs="仿宋_GB2312"/>
          <w:lang w:val="zh-CN" w:bidi="ar"/>
        </w:rPr>
        <w:t>项目完成数量、质量、时效等计划目标，在规定时间内较好地完成了各项任务，在任务量完成、质量标准、进度计划等方面成效明显。</w:t>
      </w:r>
      <w:r>
        <w:rPr>
          <w:rFonts w:hint="eastAsia" w:cs="仿宋_GB2312"/>
          <w:b/>
          <w:bCs/>
          <w:lang w:val="zh-CN" w:bidi="ar"/>
        </w:rPr>
        <w:t>一是持续强化思想引领。</w:t>
      </w:r>
      <w:r>
        <w:rPr>
          <w:rFonts w:hint="eastAsia" w:cs="仿宋_GB2312"/>
          <w:lang w:val="zh-CN" w:bidi="ar"/>
        </w:rPr>
        <w:t>创新“四史”教育活动载体，以妇女群众喜闻乐见的方式，开展“永远跟党走——巾帼心向党 奋斗新征程”自贡市党史学习群众性宣传教育活动暨第二届“紫薇花开”广场舞大赛，全市136支广场舞队伍参加，上万名妇女姐妹齐跳《共圆中国梦》《在希望的田野上》。牵头编排情景剧《未来有我，江姐精神永流传》，由自贡市江姐中学学生参演，在“百年妇运 璀璨四川——四川省妇联庆祝中国共产党成立100周年大会”上表演获得圆满成功，得到省市领导充分肯定。充分运用“妇”字号“一微一网一平台”等新媒体矩阵，讲述党史中的妇运发展史。策划推出两个“100”，甄选向警予、李贞、刘洋等100位巾帼英雄人物故事，推送《献礼建党百年——讲巾帼英雄故事》融媒体视频100期；精心策划《巾帼心向党 奋斗新征程——盐都党的女儿事迹展播》100期，讲述江竹筠、毛慈影等盐都巾帼英雄故事和李嘉、曾道群、李爽乐等自贡本土优秀女性先进事迹，激励盐都姐妹汲取奋进力量，累计点击阅读量达10万人次以上。</w:t>
      </w:r>
      <w:r>
        <w:rPr>
          <w:rFonts w:hint="eastAsia" w:cs="仿宋_GB2312"/>
          <w:b/>
          <w:bCs/>
          <w:lang w:val="zh-CN" w:bidi="ar"/>
        </w:rPr>
        <w:t>二是全面提升队伍素质。</w:t>
      </w:r>
      <w:r>
        <w:rPr>
          <w:rFonts w:hint="eastAsia" w:cs="仿宋_GB2312"/>
          <w:lang w:val="zh-CN" w:bidi="ar"/>
        </w:rPr>
        <w:t>大力开展换届后新一轮妇联系统干部培训工作。首次采用网络在线直播方式，举办市级2021年执委履职能力培训班、婚调干部培训班、区县“基层妇联干部、执委培训班”等共计25期，持续赋能各级妇女干部4000余人。拓展培训模式，持续举办“巾帼学堂•紫薇绽放”法律、健康、安全知识培训和女性农民工返乡创业就业、彩妆公益培训等共计20期，精准服务机关、企事业单位和基层妇女群众5000余人。努力争取市委重视，组织召开纪念“三八”妇女节111周年优秀女性代表座谈会，来自各行业各条战线的17名优秀女性代表参加会议，提出建议意见31条，由市委目标绩效办进行任务分解，推动市级16个部门督办落实。</w:t>
      </w:r>
      <w:r>
        <w:rPr>
          <w:rFonts w:hint="eastAsia" w:cs="仿宋_GB2312"/>
          <w:b/>
          <w:bCs/>
          <w:lang w:val="zh-CN" w:bidi="ar"/>
        </w:rPr>
        <w:t>三是着力创树活动品牌。</w:t>
      </w:r>
      <w:r>
        <w:rPr>
          <w:rFonts w:hint="eastAsia" w:cs="仿宋_GB2312"/>
          <w:lang w:val="zh-CN" w:bidi="ar"/>
        </w:rPr>
        <w:t>成功申报全国妇联先进集体1个；四川省民族团结示范单位1个；四川省组织建设先进集体2个、先进个人2个。市妇联首创《川渝地区“红梅杯”青少年女子足球邀请赛项目》，以构想类第二名的优异成绩参加了川渝妇女儿童公益项目大赛决赛暨颁奖仪式并签订牵手计划。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500余场，强化基层妇联枢纽作用和示范效应，关心凝聚各类优秀巾帼力量。加强外宣工作，全年四川封面新闻宣传报道14次，四川幸福女性宣传报道10次，自贡网宣传报道28次，看度自贡宣传报道14次。</w:t>
      </w:r>
    </w:p>
    <w:p>
      <w:pPr>
        <w:numPr>
          <w:ilvl w:val="0"/>
          <w:numId w:val="5"/>
        </w:numPr>
        <w:adjustRightInd w:val="0"/>
        <w:snapToGrid w:val="0"/>
        <w:spacing w:line="580" w:lineRule="exact"/>
        <w:ind w:firstLine="720"/>
        <w:rPr>
          <w:rFonts w:cs="仿宋_GB2312"/>
          <w:b/>
          <w:lang w:val="zh-CN" w:bidi="ar"/>
        </w:rPr>
      </w:pPr>
      <w:r>
        <w:rPr>
          <w:rFonts w:hint="eastAsia" w:eastAsia="楷体_GB2312" w:cs="楷体_GB2312"/>
          <w:b/>
          <w:lang w:val="zh-CN" w:bidi="ar"/>
        </w:rPr>
        <w:t>项目效益情况。</w:t>
      </w:r>
    </w:p>
    <w:p>
      <w:pPr>
        <w:adjustRightInd w:val="0"/>
        <w:snapToGrid w:val="0"/>
        <w:spacing w:line="580" w:lineRule="exact"/>
        <w:ind w:firstLine="640" w:firstLineChars="200"/>
        <w:rPr>
          <w:bCs/>
          <w:szCs w:val="32"/>
        </w:rPr>
      </w:pPr>
      <w:r>
        <w:rPr>
          <w:rFonts w:hint="eastAsia" w:cs="仿宋_GB2312"/>
          <w:lang w:bidi="ar"/>
        </w:rPr>
        <w:t>2021年，市妇联素质提升行动项目以强化政治思想引领为抓手，注意先进示范引领，在质量、</w:t>
      </w:r>
      <w:r>
        <w:rPr>
          <w:rFonts w:hint="eastAsia" w:cs="仿宋_GB2312"/>
          <w:lang w:val="zh-CN" w:bidi="ar"/>
        </w:rPr>
        <w:t>社会效益以及服务对象满意度等方面取得了较好有成绩，服务对象满意度自评为</w:t>
      </w:r>
      <w:r>
        <w:rPr>
          <w:rFonts w:hint="eastAsia" w:cs="仿宋_GB2312"/>
          <w:lang w:bidi="ar"/>
        </w:rPr>
        <w:t xml:space="preserve">95%。 </w:t>
      </w:r>
      <w:r>
        <w:rPr>
          <w:rFonts w:hint="eastAsia" w:cs="仿宋_GB2312"/>
          <w:b/>
          <w:bCs/>
          <w:lang w:bidi="ar"/>
        </w:rPr>
        <w:t>一是先进示范引领作用更加有力。</w:t>
      </w:r>
      <w:r>
        <w:rPr>
          <w:rFonts w:hint="eastAsia" w:cs="仿宋_GB2312"/>
          <w:lang w:bidi="ar"/>
        </w:rPr>
        <w:t>以</w:t>
      </w:r>
      <w:r>
        <w:rPr>
          <w:rFonts w:hint="eastAsia" w:cs="仿宋_GB2312"/>
          <w:szCs w:val="32"/>
        </w:rPr>
        <w:t>持续实施“基层妇联领头雁行动计划”为载体，切实发挥基层妇联执委、妇女代表、巾帼志愿者的领头雁作用，立足乡村振兴、城乡基层社会治理、脱贫攻坚等，合力做好妇女思想政治引领、促进妇女发展、依法维护妇女儿童权益、推进家庭家教家风建设等工作。各级妇联在评先评优中，主动向基层优秀妇联执委倾斜。</w:t>
      </w:r>
      <w:r>
        <w:rPr>
          <w:rFonts w:hint="eastAsia" w:cs="仿宋_GB2312"/>
          <w:bCs/>
          <w:szCs w:val="32"/>
        </w:rPr>
        <w:t>推荐评选</w:t>
      </w:r>
      <w:r>
        <w:rPr>
          <w:rFonts w:hint="eastAsia" w:cs="仿宋_GB2312"/>
          <w:szCs w:val="32"/>
        </w:rPr>
        <w:t>全国妇联系统先进集体1个；全国三八红旗手2名；全国巾帼文明岗4个、全国城乡妇女岗位建功先进个人 1名、全国巾帼建功标兵1名；全国维护妇女儿童权益先进集体1个、个人1名；全国五好家庭2个、最美家庭5个、抗疫最美家庭1个；全国家庭教育先进个人1名；全国实施妇女儿童发展纲要先进个人1名；四川省三八红旗集体8个、四川省三八红旗手14名（含抗击疫情3名）；四川省巾帼文明岗7个、巾帼建功先进集体1个、巾帼建功标兵3名；四川省维护妇女儿童合法权益先进集体9个、个人7名；四川省最美家庭18个、</w:t>
      </w:r>
      <w:r>
        <w:rPr>
          <w:rFonts w:hint="eastAsia" w:cs="仿宋_GB2312"/>
          <w:szCs w:val="32"/>
          <w:lang w:val="en"/>
        </w:rPr>
        <w:t>四川省五好家庭</w:t>
      </w:r>
      <w:r>
        <w:rPr>
          <w:rFonts w:hint="eastAsia" w:cs="仿宋_GB2312"/>
          <w:szCs w:val="32"/>
        </w:rPr>
        <w:t>8个、</w:t>
      </w:r>
      <w:r>
        <w:rPr>
          <w:rFonts w:hint="eastAsia" w:cs="仿宋_GB2312"/>
          <w:szCs w:val="32"/>
          <w:lang w:val="en"/>
        </w:rPr>
        <w:t>四川省家庭工作先进集体</w:t>
      </w:r>
      <w:r>
        <w:rPr>
          <w:rFonts w:hint="eastAsia" w:cs="仿宋_GB2312"/>
          <w:szCs w:val="32"/>
        </w:rPr>
        <w:t>8个、</w:t>
      </w:r>
      <w:r>
        <w:rPr>
          <w:rFonts w:hint="eastAsia" w:cs="仿宋_GB2312"/>
          <w:szCs w:val="32"/>
          <w:lang w:val="en"/>
        </w:rPr>
        <w:t>四川省家庭工作先进个人</w:t>
      </w:r>
      <w:r>
        <w:rPr>
          <w:rFonts w:hint="eastAsia" w:cs="仿宋_GB2312"/>
          <w:szCs w:val="32"/>
        </w:rPr>
        <w:t>8名；</w:t>
      </w:r>
      <w:r>
        <w:rPr>
          <w:rFonts w:hint="eastAsia" w:cs="仿宋_GB2312"/>
          <w:szCs w:val="32"/>
          <w:lang w:val="en"/>
        </w:rPr>
        <w:t>四川省基层组织建设工作先进集体</w:t>
      </w:r>
      <w:r>
        <w:rPr>
          <w:rFonts w:hint="eastAsia" w:cs="仿宋_GB2312"/>
          <w:szCs w:val="32"/>
        </w:rPr>
        <w:t>2个、</w:t>
      </w:r>
      <w:r>
        <w:rPr>
          <w:rFonts w:hint="eastAsia" w:cs="仿宋_GB2312"/>
          <w:szCs w:val="32"/>
          <w:lang w:val="en"/>
        </w:rPr>
        <w:t>四川省基层组织建设工作先进个人</w:t>
      </w:r>
      <w:r>
        <w:rPr>
          <w:rFonts w:hint="eastAsia" w:cs="仿宋_GB2312"/>
          <w:szCs w:val="32"/>
        </w:rPr>
        <w:t>2名。</w:t>
      </w:r>
      <w:r>
        <w:rPr>
          <w:rFonts w:hint="eastAsia" w:eastAsia="仿宋" w:cs="仿宋"/>
          <w:b/>
          <w:kern w:val="0"/>
          <w:szCs w:val="32"/>
          <w:lang w:bidi="ar"/>
        </w:rPr>
        <w:t>二是各级妇女干部履职能力更加提升。</w:t>
      </w:r>
      <w:r>
        <w:rPr>
          <w:rFonts w:hint="eastAsia" w:eastAsia="仿宋" w:cs="仿宋"/>
          <w:bCs/>
          <w:kern w:val="0"/>
          <w:szCs w:val="32"/>
          <w:lang w:bidi="ar"/>
        </w:rPr>
        <w:t>以</w:t>
      </w:r>
      <w:r>
        <w:rPr>
          <w:rFonts w:hint="eastAsia" w:cs="仿宋_GB2312"/>
          <w:bCs/>
          <w:szCs w:val="32"/>
        </w:rPr>
        <w:t>持续实施“基层妇联领头雁培训计划”为载体，</w:t>
      </w:r>
      <w:r>
        <w:rPr>
          <w:rFonts w:hint="eastAsia" w:cs="仿宋_GB2312"/>
          <w:szCs w:val="32"/>
        </w:rPr>
        <w:t>积极构建适应新时代要求的妇联干部和执委培训体系，依托党校、高校、妇干校、智库等资源和平台，大力开展换届后新一轮妇联系统干部培训工作，确保县级以上执委当选3个月内接受任职培训，确保基层妇联主席、副主席、基层执委任职期间接受至少一次系统培训。采取线上线下培训方式，举办市级执委履职能力培训班、婚调干部培训班、区县“基层妇联干部、执委培训班”等共计25期，持续赋能各级妇女干部4000余人。</w:t>
      </w:r>
      <w:r>
        <w:rPr>
          <w:rFonts w:hint="eastAsia"/>
        </w:rPr>
        <w:t>深入开展寻找60个川渝乡村女能人系列活动，围绕“巧手乡村女工匠、星级农家巧厨娘、</w:t>
      </w:r>
      <w:r>
        <w:t>创意民宿女主人</w:t>
      </w:r>
      <w:r>
        <w:rPr>
          <w:rFonts w:hint="eastAsia"/>
        </w:rPr>
        <w:t>、</w:t>
      </w:r>
      <w:r>
        <w:t>魅力乡村女创客</w:t>
      </w:r>
      <w:r>
        <w:rPr>
          <w:rFonts w:hint="eastAsia"/>
        </w:rPr>
        <w:t>、</w:t>
      </w:r>
      <w:r>
        <w:t>最美乡村女干部</w:t>
      </w:r>
      <w:r>
        <w:rPr>
          <w:rFonts w:hint="eastAsia"/>
        </w:rPr>
        <w:t>、</w:t>
      </w:r>
      <w:r>
        <w:t>农业致富女能手</w:t>
      </w:r>
      <w:r>
        <w:rPr>
          <w:rFonts w:hint="eastAsia"/>
        </w:rPr>
        <w:t>”6大类型创树能人典型60名。</w:t>
      </w:r>
      <w:r>
        <w:rPr>
          <w:rFonts w:hint="eastAsia" w:cs="仿宋_GB2312"/>
          <w:szCs w:val="32"/>
        </w:rPr>
        <w:t>开展女性农民工返乡创业就业培训、彩妆公益等培训10期。</w:t>
      </w:r>
      <w:r>
        <w:rPr>
          <w:rFonts w:hint="eastAsia"/>
          <w:b/>
          <w:szCs w:val="32"/>
        </w:rPr>
        <w:t>三是服务妇女群众渠道更加畅通。</w:t>
      </w:r>
      <w:r>
        <w:rPr>
          <w:rFonts w:hint="eastAsia"/>
          <w:bCs/>
          <w:szCs w:val="32"/>
        </w:rPr>
        <w:t>推动健全妇联干部联系基层妇女群众的制度机制。邀请政协女委员、人大女代表参与妇联重要会议和重要活动，深入了解妇女群众基本情况，及时掌握妇女群众的利益诉求，熟悉妇女工作政策、思路，自觉地加强与所在行业妇女群众的联系，成为名副其实的妇女“代言人”。 积极组织各级执委，结合自身实际和优势，整合力量和资源，服务妇女儿童展示新风采，走在前、做表率。组织执委中的家庭教育工作者、文艺工作者、医疗工作者等“幸福使者”，送家庭教育、文化艺术、医疗服务下乡，为留守妇女及家庭提供服务。执委中，市妇联兼职副主席、市歌舞曲艺演艺有限公司唱队队长陈正平坚持数年送文化下乡演出1000余场；市保健院副院长胡海燕积极开展“我为女性农民工办件事”送健康义诊下乡活动；市第一人民医院眼科主任李爽乐率先在全市开展了“亮眼护瞳”工程，对全市41所中小学30000余名学生进行了眼健康检查；市爱满家家庭教育健康服务中心理事长邓昱，连续三年将国内优秀的家庭教育专家邀请到自贡举行了线下课程300多场次，在107所中小学幼儿园建立了三宽家长学校，每周为家长播放线上家长课程参，参加线上线加培训的教师和家长达10余万人；发动8名女企业家执委参与援助留守儿童父母返乡创业就业专场招聘会，提供就业岗位100余个。</w:t>
      </w:r>
    </w:p>
    <w:p>
      <w:pPr>
        <w:numPr>
          <w:ilvl w:val="0"/>
          <w:numId w:val="6"/>
        </w:numPr>
        <w:pBdr>
          <w:top w:val="single" w:color="FFFFFF" w:sz="4" w:space="0"/>
          <w:left w:val="single" w:color="FFFFFF" w:sz="4" w:space="31"/>
          <w:bottom w:val="single" w:color="FFFFFF" w:sz="4" w:space="31"/>
          <w:right w:val="single" w:color="FFFFFF" w:sz="4" w:space="0"/>
        </w:pBdr>
        <w:spacing w:line="590" w:lineRule="exact"/>
        <w:ind w:firstLine="640" w:firstLineChars="200"/>
        <w:rPr>
          <w:rFonts w:eastAsia="黑体" w:cs="黑体"/>
          <w:lang w:bidi="ar"/>
        </w:rPr>
      </w:pPr>
      <w:r>
        <w:rPr>
          <w:rFonts w:hint="eastAsia" w:eastAsia="黑体" w:cs="黑体"/>
          <w:lang w:bidi="ar"/>
        </w:rPr>
        <w:t>问题及建议</w:t>
      </w:r>
    </w:p>
    <w:p>
      <w:pPr>
        <w:numPr>
          <w:ilvl w:val="0"/>
          <w:numId w:val="7"/>
        </w:numPr>
        <w:pBdr>
          <w:top w:val="single" w:color="FFFFFF" w:sz="4" w:space="0"/>
          <w:left w:val="single" w:color="FFFFFF" w:sz="4" w:space="31"/>
          <w:bottom w:val="single" w:color="FFFFFF" w:sz="4" w:space="31"/>
          <w:right w:val="single" w:color="FFFFFF" w:sz="4" w:space="0"/>
        </w:pBdr>
        <w:spacing w:line="590" w:lineRule="exact"/>
        <w:ind w:firstLine="321" w:firstLineChars="100"/>
        <w:rPr>
          <w:szCs w:val="32"/>
        </w:rPr>
      </w:pPr>
      <w:r>
        <w:rPr>
          <w:rFonts w:hint="eastAsia" w:eastAsia="楷体_GB2312" w:cs="楷体_GB2312"/>
          <w:b/>
          <w:lang w:val="zh-CN" w:bidi="ar"/>
        </w:rPr>
        <w:t>存在的问题。</w:t>
      </w:r>
      <w:r>
        <w:rPr>
          <w:rFonts w:hint="eastAsia" w:cs="仿宋_GB2312"/>
          <w:b/>
          <w:szCs w:val="32"/>
        </w:rPr>
        <w:t>一是基层妇联干部能力素质有待进一步提升。</w:t>
      </w:r>
      <w:r>
        <w:rPr>
          <w:rFonts w:hint="eastAsia" w:cs="仿宋_GB2312"/>
          <w:bCs/>
          <w:szCs w:val="32"/>
        </w:rPr>
        <w:t>村（社区）妇联干部普遍年龄偏大，文化程度不高，</w:t>
      </w:r>
      <w:r>
        <w:rPr>
          <w:rFonts w:hint="eastAsia" w:cs="仿宋_GB2312"/>
          <w:bCs/>
          <w:kern w:val="0"/>
          <w:szCs w:val="32"/>
        </w:rPr>
        <w:t>面对新时代新要求新任务，如何整合资源、创新开展妇女儿童工作的能力素质还有差距。同时基层妇联干部教育培训模式比较单一，培训多采用老师授课，体验式、沉浸式培训较少，开拓视野、增长见识的机会不多。</w:t>
      </w:r>
      <w:r>
        <w:rPr>
          <w:rFonts w:hint="eastAsia" w:eastAsia="楷体_GB2312" w:cs="楷体_GB2312"/>
          <w:b/>
          <w:bCs/>
          <w:szCs w:val="32"/>
        </w:rPr>
        <w:t>二是创新运用新媒体开展妇女工作还有差距。</w:t>
      </w:r>
      <w:r>
        <w:rPr>
          <w:rFonts w:hint="eastAsia" w:cs="仿宋_GB2312"/>
          <w:szCs w:val="32"/>
        </w:rPr>
        <w:t>市妇联开设“紫薇花开”公众号、建立新媒体矩阵等强化妇女思想引领，但对微信、微博等新媒介的开发和运用不够，妇联系统干部运用新媒体开展妇女工作的能力还不强</w:t>
      </w:r>
      <w:r>
        <w:rPr>
          <w:rFonts w:hint="eastAsia"/>
          <w:szCs w:val="32"/>
        </w:rPr>
        <w:t>。</w:t>
      </w:r>
    </w:p>
    <w:p>
      <w:pPr>
        <w:numPr>
          <w:ilvl w:val="0"/>
          <w:numId w:val="7"/>
        </w:numPr>
        <w:pBdr>
          <w:top w:val="single" w:color="FFFFFF" w:sz="4" w:space="0"/>
          <w:left w:val="single" w:color="FFFFFF" w:sz="4" w:space="31"/>
          <w:bottom w:val="single" w:color="FFFFFF" w:sz="4" w:space="31"/>
          <w:right w:val="single" w:color="FFFFFF" w:sz="4" w:space="0"/>
        </w:pBdr>
        <w:spacing w:line="590" w:lineRule="exact"/>
        <w:ind w:firstLine="321" w:firstLineChars="100"/>
        <w:rPr>
          <w:lang w:val="zh-CN"/>
        </w:rPr>
      </w:pPr>
      <w:r>
        <w:rPr>
          <w:rFonts w:hint="eastAsia" w:eastAsia="楷体_GB2312" w:cs="楷体_GB2312"/>
          <w:b/>
          <w:lang w:val="zh-CN" w:bidi="ar"/>
        </w:rPr>
        <w:t>相关建议。</w:t>
      </w:r>
      <w:r>
        <w:rPr>
          <w:rFonts w:hint="eastAsia" w:eastAsia="仿宋" w:cs="仿宋"/>
          <w:b/>
          <w:bCs/>
          <w:szCs w:val="32"/>
        </w:rPr>
        <w:t>一是加大妇联干部培养使用力度。</w:t>
      </w:r>
      <w:r>
        <w:rPr>
          <w:rFonts w:hint="eastAsia"/>
          <w:kern w:val="0"/>
          <w:szCs w:val="32"/>
        </w:rPr>
        <w:t>巩固改革成果，以深化妇联组织建设改革“破难行动”为契机，进一步加强市县两级妇联领导班子建设，配齐配强兼职、挂职副主席，积极推动妇联干部和党政机关、企事业单位干部的双向交流，不断激发队伍活力。</w:t>
      </w:r>
      <w:r>
        <w:rPr>
          <w:rFonts w:hint="eastAsia" w:cs="仿宋_GB2312"/>
          <w:b/>
          <w:bCs/>
          <w:szCs w:val="32"/>
        </w:rPr>
        <w:t>二是加大政府购买公共服务力度。</w:t>
      </w:r>
      <w:r>
        <w:rPr>
          <w:rFonts w:hint="eastAsia" w:cs="仿宋_GB2312"/>
          <w:szCs w:val="32"/>
        </w:rPr>
        <w:t>探索创新资金使用机制，整合各级各部门经费下沉乡镇（街道）、村（社区），制定政府购买服务指导性目录，引导资金使用方向和服务项目。推动基层妇女干部培训、社区治理、老幼关爱、救助服务、法律援助等群众需求服务项目化，按照政府购买服务方式打包予以实施，进一步提高政府行政效能。</w:t>
      </w:r>
    </w:p>
    <w:p>
      <w:pPr>
        <w:pStyle w:val="7"/>
        <w:spacing w:before="131"/>
        <w:rPr>
          <w:rFonts w:ascii="Times New Roman" w:cs="仿宋_GB2312"/>
          <w:sz w:val="32"/>
          <w:szCs w:val="32"/>
        </w:rPr>
      </w:pPr>
    </w:p>
    <w:p>
      <w:pPr>
        <w:rPr>
          <w:rFonts w:cs="仿宋_GB2312"/>
          <w:szCs w:val="32"/>
        </w:rPr>
      </w:pPr>
    </w:p>
    <w:p>
      <w:pPr>
        <w:pStyle w:val="7"/>
        <w:spacing w:before="131"/>
        <w:rPr>
          <w:rFonts w:ascii="Times New Roman" w:cs="仿宋_GB2312"/>
          <w:sz w:val="32"/>
          <w:szCs w:val="32"/>
        </w:rPr>
      </w:pPr>
    </w:p>
    <w:p>
      <w:pPr>
        <w:rPr>
          <w:rFonts w:cs="仿宋_GB2312"/>
          <w:szCs w:val="32"/>
        </w:rPr>
      </w:pPr>
    </w:p>
    <w:p>
      <w:pPr>
        <w:pStyle w:val="7"/>
        <w:spacing w:before="131"/>
        <w:rPr>
          <w:rFonts w:ascii="Times New Roman" w:cs="仿宋_GB2312"/>
          <w:sz w:val="32"/>
          <w:szCs w:val="32"/>
        </w:rPr>
      </w:pPr>
    </w:p>
    <w:p>
      <w:pPr>
        <w:spacing w:line="560" w:lineRule="exact"/>
        <w:outlineLvl w:val="1"/>
        <w:rPr>
          <w:rFonts w:eastAsia="黑体" w:cs="黑体"/>
          <w:lang w:bidi="ar"/>
        </w:rPr>
      </w:pPr>
      <w:bookmarkStart w:id="64" w:name="_Toc31900874"/>
    </w:p>
    <w:bookmarkEnd w:id="64"/>
    <w:p>
      <w:pPr>
        <w:spacing w:line="320" w:lineRule="exact"/>
        <w:rPr>
          <w:rFonts w:eastAsia="黑体" w:cs="黑体"/>
          <w:color w:val="000000"/>
          <w:kern w:val="0"/>
          <w:lang w:bidi="ar"/>
        </w:rPr>
      </w:pPr>
      <w:bookmarkStart w:id="65" w:name="_Toc1870001886"/>
      <w:bookmarkStart w:id="66" w:name="_Toc15396618"/>
      <w:r>
        <w:rPr>
          <w:rFonts w:hint="eastAsia" w:eastAsia="黑体" w:cs="黑体"/>
          <w:color w:val="000000"/>
          <w:kern w:val="0"/>
          <w:lang w:bidi="ar"/>
        </w:rPr>
        <w:t>附件3</w:t>
      </w:r>
    </w:p>
    <w:tbl>
      <w:tblPr>
        <w:tblStyle w:val="12"/>
        <w:tblW w:w="9080" w:type="dxa"/>
        <w:jc w:val="center"/>
        <w:tblLayout w:type="fixed"/>
        <w:tblCellMar>
          <w:top w:w="0" w:type="dxa"/>
          <w:left w:w="108" w:type="dxa"/>
          <w:bottom w:w="0" w:type="dxa"/>
          <w:right w:w="108" w:type="dxa"/>
        </w:tblCellMar>
      </w:tblPr>
      <w:tblGrid>
        <w:gridCol w:w="588"/>
        <w:gridCol w:w="980"/>
        <w:gridCol w:w="733"/>
        <w:gridCol w:w="705"/>
        <w:gridCol w:w="870"/>
        <w:gridCol w:w="668"/>
        <w:gridCol w:w="1123"/>
        <w:gridCol w:w="1145"/>
        <w:gridCol w:w="146"/>
        <w:gridCol w:w="368"/>
        <w:gridCol w:w="341"/>
        <w:gridCol w:w="199"/>
        <w:gridCol w:w="652"/>
        <w:gridCol w:w="21"/>
        <w:gridCol w:w="541"/>
      </w:tblGrid>
      <w:tr>
        <w:tblPrEx>
          <w:tblCellMar>
            <w:top w:w="0" w:type="dxa"/>
            <w:left w:w="108" w:type="dxa"/>
            <w:bottom w:w="0" w:type="dxa"/>
            <w:right w:w="108" w:type="dxa"/>
          </w:tblCellMar>
        </w:tblPrEx>
        <w:trPr>
          <w:trHeight w:val="454" w:hRule="exact"/>
          <w:jc w:val="center"/>
        </w:trPr>
        <w:tc>
          <w:tcPr>
            <w:tcW w:w="9080" w:type="dxa"/>
            <w:gridSpan w:val="15"/>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维权关爱再提升行动</w:t>
            </w:r>
          </w:p>
        </w:tc>
      </w:tr>
      <w:tr>
        <w:tblPrEx>
          <w:tblCellMar>
            <w:top w:w="0" w:type="dxa"/>
            <w:left w:w="108" w:type="dxa"/>
            <w:bottom w:w="0" w:type="dxa"/>
            <w:right w:w="108" w:type="dxa"/>
          </w:tblCellMar>
        </w:tblPrEx>
        <w:trPr>
          <w:trHeight w:val="369"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230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936" w:type="dxa"/>
            <w:gridSpan w:val="3"/>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24.99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99.96%</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1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24.99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99.96%</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32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5204"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1831"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32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依法维护妇女儿童合法权益，广泛开展“巾帼心向党 奋斗新征程”为主题的各类妇女思想引领活动，“百千万巾帼大宣讲”、“巾帼心向党思想引领法治讲堂”等各类活动及讲座</w:t>
            </w:r>
          </w:p>
        </w:tc>
        <w:tc>
          <w:tcPr>
            <w:tcW w:w="5204"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依法维护妇女儿童合法权益，开展“巾帼维权大讲堂”系列讲座80场。举办“永远跟党走——巾帼心向党﹒奋斗新征程”自贡市党史学习群众性宣传教育活动暨第二届“紫薇花开”广场舞大赛活动，带动引领上万名妇女群众。</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73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656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73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覆盖妇女群体</w:t>
            </w:r>
          </w:p>
        </w:tc>
        <w:tc>
          <w:tcPr>
            <w:tcW w:w="870" w:type="dxa"/>
            <w:tcBorders>
              <w:top w:val="nil"/>
              <w:left w:val="nil"/>
              <w:bottom w:val="single" w:color="auto" w:sz="4" w:space="0"/>
              <w:right w:val="single" w:color="auto" w:sz="4" w:space="0"/>
            </w:tcBorders>
            <w:vAlign w:val="center"/>
          </w:tcPr>
          <w:p>
            <w:pPr>
              <w:widowControl/>
              <w:spacing w:line="240" w:lineRule="exact"/>
              <w:rPr>
                <w:rFonts w:cs="仿宋_GB2312"/>
                <w:b/>
                <w:bCs/>
                <w:kern w:val="0"/>
                <w:sz w:val="15"/>
                <w:szCs w:val="15"/>
              </w:rPr>
            </w:pPr>
            <w:r>
              <w:rPr>
                <w:rFonts w:hint="eastAsia" w:cs="仿宋_GB2312"/>
                <w:b/>
                <w:bCs/>
                <w:kern w:val="0"/>
                <w:sz w:val="15"/>
                <w:szCs w:val="15"/>
              </w:rPr>
              <w:t>3类以上</w:t>
            </w:r>
          </w:p>
        </w:tc>
        <w:tc>
          <w:tcPr>
            <w:tcW w:w="3450" w:type="dxa"/>
            <w:gridSpan w:val="5"/>
            <w:tcBorders>
              <w:top w:val="nil"/>
              <w:left w:val="nil"/>
              <w:bottom w:val="single" w:color="auto" w:sz="4" w:space="0"/>
              <w:right w:val="single" w:color="auto" w:sz="4" w:space="0"/>
            </w:tcBorders>
            <w:vAlign w:val="center"/>
          </w:tcPr>
          <w:p>
            <w:pPr>
              <w:widowControl/>
              <w:spacing w:line="240" w:lineRule="exact"/>
              <w:rPr>
                <w:rFonts w:eastAsia="宋体" w:cs="宋体"/>
                <w:kern w:val="0"/>
                <w:sz w:val="16"/>
                <w:szCs w:val="16"/>
              </w:rPr>
            </w:pPr>
            <w:r>
              <w:rPr>
                <w:rFonts w:hint="eastAsia" w:cs="仿宋_GB2312"/>
                <w:b/>
                <w:bCs/>
                <w:kern w:val="0"/>
                <w:sz w:val="16"/>
                <w:szCs w:val="16"/>
              </w:rPr>
              <w:t>3类以上，一是</w:t>
            </w:r>
            <w:r>
              <w:rPr>
                <w:rFonts w:hint="eastAsia" w:cs="仿宋_GB2312"/>
                <w:kern w:val="0"/>
                <w:sz w:val="16"/>
                <w:szCs w:val="16"/>
              </w:rPr>
              <w:t>举办“永远跟党走——巾帼心向党﹒奋斗新征程”自贡市党史学习群众性宣传教育活动暨第二届“紫薇花开”广场舞大赛活动，带动万名广场舞妇女群众参与齐跳广场舞《共圆中国梦》《在希望的田野上》的活动中来。</w:t>
            </w:r>
            <w:r>
              <w:rPr>
                <w:rFonts w:hint="eastAsia" w:cs="仿宋_GB2312"/>
                <w:b/>
                <w:bCs/>
                <w:kern w:val="0"/>
                <w:sz w:val="16"/>
                <w:szCs w:val="16"/>
              </w:rPr>
              <w:t>二是</w:t>
            </w:r>
            <w:r>
              <w:rPr>
                <w:rFonts w:hint="eastAsia" w:cs="仿宋_GB2312"/>
                <w:kern w:val="0"/>
                <w:sz w:val="16"/>
                <w:szCs w:val="16"/>
              </w:rPr>
              <w:t>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w:t>
            </w:r>
            <w:r>
              <w:rPr>
                <w:rFonts w:hint="eastAsia" w:cs="仿宋_GB2312"/>
                <w:b/>
                <w:bCs/>
                <w:kern w:val="0"/>
                <w:sz w:val="16"/>
                <w:szCs w:val="16"/>
              </w:rPr>
              <w:t>三是</w:t>
            </w:r>
            <w:r>
              <w:rPr>
                <w:rFonts w:hint="eastAsia" w:cs="仿宋_GB2312"/>
                <w:kern w:val="0"/>
                <w:sz w:val="16"/>
                <w:szCs w:val="16"/>
              </w:rPr>
              <w:t>开展第七届“紫薇花开·巾帼维权大讲堂”，以“以案说法”的形式宣讲婚姻家庭等维护妇女儿童合法权益相关案例为主要内容，同时结合实际开展安全生产、禁毒防艾、防拐反拐、儿童防性侵、就业维权、防网络诈骗等妇女儿童维权知识宣传，让案例宣讲“进区县、进机关、进学校、进企业、进社区、进农村”。</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89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覆盖人数</w:t>
            </w:r>
          </w:p>
        </w:tc>
        <w:tc>
          <w:tcPr>
            <w:tcW w:w="870" w:type="dxa"/>
            <w:tcBorders>
              <w:top w:val="nil"/>
              <w:left w:val="nil"/>
              <w:bottom w:val="single" w:color="auto" w:sz="4" w:space="0"/>
              <w:right w:val="single" w:color="auto" w:sz="4" w:space="0"/>
            </w:tcBorders>
            <w:vAlign w:val="center"/>
          </w:tcPr>
          <w:p>
            <w:pPr>
              <w:widowControl/>
              <w:spacing w:line="240" w:lineRule="exact"/>
              <w:jc w:val="left"/>
              <w:rPr>
                <w:rFonts w:cs="仿宋_GB2312"/>
                <w:sz w:val="15"/>
                <w:szCs w:val="15"/>
              </w:rPr>
            </w:pPr>
            <w:r>
              <w:rPr>
                <w:rFonts w:hint="eastAsia" w:cs="仿宋_GB2312"/>
                <w:sz w:val="15"/>
                <w:szCs w:val="15"/>
              </w:rPr>
              <w:t>3万</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cs="宋体"/>
                <w:kern w:val="0"/>
                <w:sz w:val="16"/>
                <w:szCs w:val="16"/>
              </w:rPr>
            </w:pPr>
            <w:r>
              <w:rPr>
                <w:rFonts w:hint="eastAsia" w:eastAsia="宋体" w:cs="宋体"/>
                <w:b/>
                <w:bCs/>
                <w:kern w:val="0"/>
                <w:sz w:val="16"/>
                <w:szCs w:val="16"/>
              </w:rPr>
              <w:t>100000人次，</w:t>
            </w:r>
            <w:r>
              <w:rPr>
                <w:rFonts w:hint="eastAsia" w:cs="仿宋_GB2312"/>
                <w:b/>
                <w:bCs/>
                <w:kern w:val="0"/>
                <w:sz w:val="16"/>
                <w:szCs w:val="16"/>
              </w:rPr>
              <w:t xml:space="preserve"> 一是</w:t>
            </w:r>
            <w:r>
              <w:rPr>
                <w:rFonts w:hint="eastAsia" w:cs="仿宋_GB2312"/>
                <w:kern w:val="0"/>
                <w:sz w:val="16"/>
                <w:szCs w:val="16"/>
              </w:rPr>
              <w:t>举办“永远跟党走——巾帼心向党﹒奋斗新征程”自贡市党史学习群众性宣传教育活动暨第二届“紫薇花开”广场舞大赛活动，带动万名广场舞妇女群众参与齐跳广场舞《共圆中国梦》《在希望的田野上》的活动中来。</w:t>
            </w:r>
            <w:r>
              <w:rPr>
                <w:rFonts w:hint="eastAsia" w:cs="仿宋_GB2312"/>
                <w:b/>
                <w:bCs/>
                <w:kern w:val="0"/>
                <w:sz w:val="16"/>
                <w:szCs w:val="16"/>
              </w:rPr>
              <w:t>二是</w:t>
            </w:r>
            <w:r>
              <w:rPr>
                <w:rFonts w:hint="eastAsia" w:cs="仿宋_GB2312"/>
                <w:kern w:val="0"/>
                <w:sz w:val="16"/>
                <w:szCs w:val="16"/>
              </w:rPr>
              <w:t>开展第七届“紫薇花开·巾帼维权大讲堂”，</w:t>
            </w:r>
            <w:r>
              <w:rPr>
                <w:rFonts w:hint="eastAsia" w:cs="仿宋_GB2312"/>
                <w:sz w:val="16"/>
                <w:szCs w:val="16"/>
              </w:rPr>
              <w:t>以“以案说法”的形式宣讲婚姻家庭等维护妇女儿童合法权益相关案例为主要内容，同时结合实际开展安全生产、禁毒防艾、防拐反拐、儿童防性侵、就业维权、防网络诈骗等妇女儿童维权知识宣传，让案例宣讲“进区县、进机关、进学校、进企业、进社区、进农村”。联动1000个村社区共同开展，服务上万名妇女姐妹。</w:t>
            </w:r>
            <w:r>
              <w:rPr>
                <w:rFonts w:hint="eastAsia" w:cs="仿宋_GB2312"/>
                <w:b/>
                <w:bCs/>
                <w:sz w:val="16"/>
                <w:szCs w:val="16"/>
              </w:rPr>
              <w:t>三是</w:t>
            </w:r>
            <w:r>
              <w:rPr>
                <w:rFonts w:hint="eastAsia" w:cs="仿宋_GB2312"/>
                <w:sz w:val="16"/>
                <w:szCs w:val="16"/>
              </w:rPr>
              <w:t>2021年“三八”维权宣传周期间，自贡市妇联着力维权关爱再提升行动，携手自贡市依法治市办、自贡市多元化解办、自贡市司法局，组织开展自贡市第二届“国有法 家有爱”三八维权周特别节目。2021年3月8日—3月14日，连续7天在FM90.2自贡交通广播电台，每天下午17:00-19:00黄金时段，市巾帼维权女律师服务团律师、自贡市心灵花园婚姻家庭教育咨询中心婚恋专家，以婚恋全时段为主线，即从恋爱（同居）纠纷——婚姻家庭关系调适——家庭暴力应对——离婚纠纷——再婚（老年人同居）纠纷等五个方面入手，对应《民法典》所涉及的法律条款、典型案例以及家庭建设等方面，通过以案说法、以案说理、以案说情，进一步深化妇女儿童及家庭法治宣传教育，切实增强妇女儿童依法维权意识，预防和化解婚姻家庭矛盾，促进家庭和谐建设。让电波搭建连心桥，普法走进直播间，收听人数累计达10万人次。</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0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线上线下活动</w:t>
            </w:r>
          </w:p>
        </w:tc>
        <w:tc>
          <w:tcPr>
            <w:tcW w:w="870" w:type="dxa"/>
            <w:tcBorders>
              <w:top w:val="nil"/>
              <w:left w:val="nil"/>
              <w:bottom w:val="single" w:color="auto" w:sz="4" w:space="0"/>
              <w:right w:val="single" w:color="auto" w:sz="4" w:space="0"/>
            </w:tcBorders>
            <w:vAlign w:val="center"/>
          </w:tcPr>
          <w:p>
            <w:pPr>
              <w:widowControl/>
              <w:spacing w:line="240" w:lineRule="exact"/>
              <w:jc w:val="left"/>
              <w:rPr>
                <w:rFonts w:cs="仿宋_GB2312"/>
                <w:sz w:val="15"/>
                <w:szCs w:val="15"/>
              </w:rPr>
            </w:pPr>
            <w:r>
              <w:rPr>
                <w:rFonts w:hint="eastAsia" w:cs="仿宋_GB2312"/>
                <w:sz w:val="15"/>
                <w:szCs w:val="15"/>
              </w:rPr>
              <w:t>不少于12场次线上线下各类活动</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eastAsia="宋体" w:cs="宋体"/>
                <w:kern w:val="0"/>
                <w:sz w:val="16"/>
                <w:szCs w:val="16"/>
              </w:rPr>
            </w:pPr>
            <w:r>
              <w:rPr>
                <w:rFonts w:hint="eastAsia" w:cs="仿宋_GB2312"/>
                <w:kern w:val="0"/>
                <w:sz w:val="16"/>
                <w:szCs w:val="16"/>
              </w:rPr>
              <w:t>线上线下宣传活动总计104场。</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482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亮品牌</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打造“母亲课堂”“巾帼维权大讲堂”“紫薇花课堂”，确保每场活动参与人数不低于50人。</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cs="仿宋_GB2312"/>
                <w:kern w:val="0"/>
                <w:sz w:val="16"/>
                <w:szCs w:val="16"/>
              </w:rPr>
            </w:pPr>
            <w:r>
              <w:rPr>
                <w:rFonts w:hint="eastAsia" w:cs="仿宋_GB2312"/>
                <w:b/>
                <w:bCs/>
                <w:kern w:val="0"/>
                <w:sz w:val="16"/>
                <w:szCs w:val="16"/>
              </w:rPr>
              <w:t>1.“紫薇花课堂”，</w:t>
            </w:r>
            <w:r>
              <w:rPr>
                <w:rFonts w:hint="eastAsia" w:cs="仿宋_GB2312"/>
                <w:kern w:val="0"/>
                <w:sz w:val="16"/>
                <w:szCs w:val="16"/>
              </w:rPr>
              <w:t>一是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二是与自贡市第一人民医院合作开展自贡市2021年“巾帼学堂•紫薇绽放”家庭健康生活大讲堂，邀请我市健康专家进行中医养生、心理健康健教公开课、体验活动等，并根据群众需求及疫情防控要求，不定期下乡镇、社区、学校、机关、企业等开展健教宣传活动6期健康讲座。</w:t>
            </w:r>
          </w:p>
          <w:p>
            <w:pPr>
              <w:widowControl/>
              <w:spacing w:line="240" w:lineRule="exact"/>
              <w:jc w:val="left"/>
              <w:rPr>
                <w:rFonts w:cs="仿宋_GB2312"/>
                <w:kern w:val="0"/>
                <w:sz w:val="16"/>
                <w:szCs w:val="16"/>
              </w:rPr>
            </w:pPr>
            <w:r>
              <w:rPr>
                <w:rFonts w:hint="eastAsia" w:cs="仿宋_GB2312"/>
                <w:b/>
                <w:bCs/>
                <w:kern w:val="0"/>
                <w:sz w:val="16"/>
                <w:szCs w:val="16"/>
              </w:rPr>
              <w:t>2.“巾帼维权大讲堂”，</w:t>
            </w:r>
            <w:r>
              <w:rPr>
                <w:rFonts w:hint="eastAsia" w:cs="仿宋_GB2312"/>
                <w:kern w:val="0"/>
                <w:sz w:val="16"/>
                <w:szCs w:val="16"/>
              </w:rPr>
              <w:t>为切实推进“建设法治中国 巾帼在行动”，营造学法、守法、尊法、用法的良好法治氛围，增强妇女儿童依法维权意识，引导社会公众建立和维护平等、和睦、文明的婚姻家庭关系，进一步增强人民群众的获得感、幸福感、安全感，为建设城乡一体繁荣幸福新自贡创造和谐稳定的社会环境，市妇联在全市组织开展2021—2022年“巾帼维权大讲堂”进区县、进机关、进企业、进乡村、进社区、进家庭“六进”活动。通过以“以案说法”的形式宣讲《民法典》《中华人民共和国未成年人保护法》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50余名女律师们将用一年的时间分赴城市社区、乡镇农村开展法制宣讲150场。</w:t>
            </w:r>
          </w:p>
          <w:p>
            <w:pPr>
              <w:widowControl/>
              <w:spacing w:line="240" w:lineRule="exact"/>
              <w:jc w:val="left"/>
              <w:rPr>
                <w:rFonts w:eastAsia="宋体" w:cs="宋体"/>
                <w:kern w:val="0"/>
                <w:sz w:val="16"/>
                <w:szCs w:val="16"/>
              </w:rPr>
            </w:pPr>
            <w:r>
              <w:rPr>
                <w:rFonts w:hint="eastAsia" w:cs="仿宋_GB2312"/>
                <w:b/>
                <w:bCs/>
                <w:kern w:val="0"/>
                <w:sz w:val="16"/>
                <w:szCs w:val="16"/>
              </w:rPr>
              <w:t>3.“母亲课堂”</w:t>
            </w:r>
            <w:r>
              <w:rPr>
                <w:rFonts w:hint="eastAsia" w:cs="仿宋_GB2312"/>
                <w:kern w:val="0"/>
                <w:sz w:val="16"/>
                <w:szCs w:val="16"/>
              </w:rPr>
              <w:t>，为隆重庆祝中国共产党建党100周年，引导广大家庭回顾党的奋斗历程，讴歌党的光辉业绩，培养爱党爱国的家国情怀，体现昂扬向上的精神风貌，贯彻落实“盐都未来工程”立德树人的要求，推进全民阅读“进家庭”，帮助家庭成员养成阅读习惯，多读书、读好书。市纪委监委机关、市教育和体育局、市语言文字工作委员会、市妇女联合会、自贡市广播电视台联合开展“颂百年风华 传红色基因”——2021年“盐都好家风·阅读悦美”红色阅读活动。目前，该活动已通过市妇联“紫薇花开”微信公众号推送展播13期，并联动自贡市广播电视台FM97.7自贡综合广播在每周六15:00—16:00期间开设专栏《盐都好家风》进行展播。</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09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强引领</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亮出妇联旗帜、发出妇联声音、凝聚妇女力量</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cs="宋体"/>
                <w:kern w:val="0"/>
                <w:sz w:val="16"/>
                <w:szCs w:val="16"/>
              </w:rPr>
            </w:pPr>
            <w:r>
              <w:rPr>
                <w:rFonts w:hint="eastAsia" w:cs="仿宋_GB2312"/>
                <w:b/>
                <w:bCs/>
                <w:kern w:val="0"/>
                <w:sz w:val="16"/>
                <w:szCs w:val="16"/>
              </w:rPr>
              <w:t>一是</w:t>
            </w:r>
            <w:r>
              <w:rPr>
                <w:rFonts w:hint="eastAsia" w:cs="仿宋_GB2312"/>
                <w:kern w:val="0"/>
                <w:sz w:val="16"/>
                <w:szCs w:val="16"/>
              </w:rPr>
              <w:t>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w:t>
            </w:r>
            <w:r>
              <w:rPr>
                <w:rFonts w:hint="eastAsia" w:cs="仿宋_GB2312"/>
                <w:b/>
                <w:bCs/>
                <w:kern w:val="0"/>
                <w:sz w:val="16"/>
                <w:szCs w:val="16"/>
              </w:rPr>
              <w:t>二是</w:t>
            </w:r>
            <w:r>
              <w:rPr>
                <w:rFonts w:hint="eastAsia" w:cs="仿宋_GB2312"/>
                <w:kern w:val="0"/>
                <w:sz w:val="16"/>
                <w:szCs w:val="16"/>
              </w:rPr>
              <w:t>举办“永远跟党走——巾帼心向党﹒奋斗新征程”自贡市党史学习群众性宣传教育活动暨第二届“紫薇花开”广场舞大赛活动，带动万名广场舞妇女群众参与齐跳广场舞《共圆中国梦》《在希望的田野上》的活动中来，引导广场舞妇女成为新时代文明新风的传播者、社会主义核心价值观的践行者，号召全市妇女以女性特有的力量带动家庭影响社会，为推进我市超常跨越和高质量发展凝聚巾帼力量发挥建功“十四五”、奋斗新征程的巾帼力量。</w:t>
            </w:r>
            <w:r>
              <w:rPr>
                <w:rFonts w:hint="eastAsia" w:cs="仿宋_GB2312"/>
                <w:b/>
                <w:bCs/>
                <w:kern w:val="0"/>
                <w:sz w:val="16"/>
                <w:szCs w:val="16"/>
              </w:rPr>
              <w:t>三是</w:t>
            </w:r>
            <w:r>
              <w:rPr>
                <w:rFonts w:hint="eastAsia" w:cs="仿宋_GB2312"/>
                <w:kern w:val="0"/>
                <w:sz w:val="16"/>
                <w:szCs w:val="16"/>
              </w:rPr>
              <w:t>在全市组织开展2021—2022年“巾帼维权大讲堂”进区县、进机关、进企业、进乡村、进社区、进家庭“六进”活动。通过以“以案说法”的形式宣讲《民法典》《中华人民共和国未成年人保护法》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50余名女律师们将用一年的时间分赴城市社区、乡镇农村开展法制宣讲150场。营造学法、守法、尊法、用法的良好法治氛围，增强妇女儿童依法维权意识，引导社会公众建立和维护平等、和睦、文明的婚姻家庭关系，进一步增强人民群众的获得感、幸福感、安全感，为建设城乡一体繁荣幸福新自贡创造和谐稳定的社会环境。</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0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完成时间</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2021年11月底前完成</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6"/>
                <w:szCs w:val="16"/>
              </w:rPr>
            </w:pPr>
            <w:r>
              <w:rPr>
                <w:rFonts w:hint="eastAsia" w:eastAsia="宋体" w:cs="宋体"/>
                <w:kern w:val="0"/>
                <w:sz w:val="16"/>
                <w:szCs w:val="16"/>
              </w:rPr>
              <w:t>按时完成</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6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按时完成率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100%</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6"/>
                <w:szCs w:val="16"/>
              </w:rPr>
            </w:pPr>
            <w:r>
              <w:rPr>
                <w:rFonts w:hint="eastAsia" w:eastAsia="宋体" w:cs="宋体"/>
                <w:kern w:val="0"/>
                <w:sz w:val="16"/>
                <w:szCs w:val="16"/>
              </w:rPr>
              <w:t>100%</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90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1575" w:type="dxa"/>
            <w:gridSpan w:val="2"/>
            <w:tcBorders>
              <w:top w:val="single" w:color="auto" w:sz="4" w:space="0"/>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运用新媒体手段围绕妇女群众关注点主动设置话题、引导讨论，努力做到联系妇女群众线下有活动、有面对面交流，线上有声音、有互动、有话题，实现互动常态化、沟通零距离</w:t>
            </w:r>
          </w:p>
        </w:tc>
        <w:tc>
          <w:tcPr>
            <w:tcW w:w="3450" w:type="dxa"/>
            <w:gridSpan w:val="5"/>
            <w:tcBorders>
              <w:top w:val="nil"/>
              <w:left w:val="nil"/>
              <w:right w:val="single" w:color="auto" w:sz="4" w:space="0"/>
            </w:tcBorders>
            <w:vAlign w:val="center"/>
          </w:tcPr>
          <w:p>
            <w:pPr>
              <w:widowControl/>
              <w:spacing w:line="240" w:lineRule="exact"/>
              <w:jc w:val="left"/>
              <w:rPr>
                <w:rFonts w:cs="宋体"/>
                <w:kern w:val="0"/>
                <w:sz w:val="16"/>
                <w:szCs w:val="16"/>
              </w:rPr>
            </w:pPr>
            <w:r>
              <w:rPr>
                <w:rFonts w:hint="eastAsia" w:cs="仿宋_GB2312"/>
                <w:b/>
                <w:bCs/>
                <w:kern w:val="0"/>
                <w:sz w:val="16"/>
                <w:szCs w:val="16"/>
              </w:rPr>
              <w:t>一是</w:t>
            </w:r>
            <w:r>
              <w:rPr>
                <w:rFonts w:hint="eastAsia" w:cs="仿宋_GB2312"/>
                <w:kern w:val="0"/>
                <w:sz w:val="16"/>
                <w:szCs w:val="16"/>
              </w:rPr>
              <w:t>2021年，市妇联通过“紫薇花开”微信公众号共计发布微信260次，推送信息515条，包括原创工作微信350条，转发微信165条。其中两档精品栏目，一是从2021年3月8日起，精心策划推送《盐都党的女儿》事迹展播，按每周2期的频次，推送事迹展播100期；二是推送原创普法栏目“廖法官说法”12期。全年累计阅读量247400次，服务妇女群众10万人次以上。</w:t>
            </w:r>
            <w:r>
              <w:rPr>
                <w:rFonts w:hint="eastAsia" w:cs="仿宋_GB2312"/>
                <w:b/>
                <w:bCs/>
                <w:kern w:val="0"/>
                <w:sz w:val="16"/>
                <w:szCs w:val="16"/>
              </w:rPr>
              <w:t>二是</w:t>
            </w:r>
            <w:r>
              <w:rPr>
                <w:rFonts w:hint="eastAsia" w:cs="仿宋_GB2312"/>
                <w:kern w:val="0"/>
                <w:sz w:val="16"/>
                <w:szCs w:val="16"/>
              </w:rPr>
              <w:t>通过举办“永远跟党走——巾帼心向党﹒奋斗新征程”自贡市党史学习群众性宣传教育活动暨第二届“紫薇花开”广场舞大赛活动、开展2021—2022年“巾帼维权大讲堂”进区县、进机关、进企业、进乡村、进社区、进家庭“六进”活动等，做到联系妇女群众线下有活动、有面对面交流，线上有声音、有互动、有话题，实现互动常态化、沟通零距离。</w:t>
            </w:r>
          </w:p>
        </w:tc>
        <w:tc>
          <w:tcPr>
            <w:tcW w:w="540"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673"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1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1575" w:type="dxa"/>
            <w:gridSpan w:val="2"/>
            <w:tcBorders>
              <w:top w:val="single" w:color="auto" w:sz="4" w:space="0"/>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通过活动的开展，能够亮出妇联旗帜、发出妇联声音、凝聚妇女力量</w:t>
            </w:r>
          </w:p>
        </w:tc>
        <w:tc>
          <w:tcPr>
            <w:tcW w:w="3450" w:type="dxa"/>
            <w:gridSpan w:val="5"/>
            <w:tcBorders>
              <w:top w:val="nil"/>
              <w:left w:val="nil"/>
              <w:right w:val="single" w:color="auto" w:sz="4" w:space="0"/>
            </w:tcBorders>
            <w:vAlign w:val="center"/>
          </w:tcPr>
          <w:p>
            <w:pPr>
              <w:widowControl/>
              <w:spacing w:line="240" w:lineRule="exact"/>
              <w:jc w:val="left"/>
              <w:rPr>
                <w:rFonts w:cs="仿宋_GB2312"/>
                <w:kern w:val="0"/>
                <w:sz w:val="16"/>
                <w:szCs w:val="16"/>
              </w:rPr>
            </w:pPr>
            <w:r>
              <w:rPr>
                <w:rFonts w:hint="eastAsia" w:cs="仿宋_GB2312"/>
                <w:kern w:val="0"/>
                <w:sz w:val="16"/>
                <w:szCs w:val="16"/>
              </w:rPr>
              <w:t>一是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二是举办“永远跟党走——巾帼心向党﹒奋斗新征程”自贡市党史学习群众性宣传教育活动暨第二届“紫薇花开”广场舞大赛活动，带动万名广场舞妇女群众参与齐跳广场舞《共圆中国梦》《在希望的田野上》的活动中来，引导广场舞妇女成为新时代文明新风的传播者、社会主义核心价值观的践行者，号召全市妇女以女性特有的力量带动家庭影响社会，为推进我市超常跨越和高质量发展凝聚巾帼力量发挥建功“十四五”、奋斗新征程的巾帼力量。三是在全市组织开展2021—2022年“巾帼维权大讲堂”进区县、进机关、进企业、进乡村、进社区、进家庭“六进”活动。通过以“以案说法”的形式宣讲《民法典》《中华人民共和国未成年人保护法》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50余名女律师们将用一年的时间分赴城市社区、乡镇农村开展法制宣讲150场。营造学法、守法、尊法、用法的良好法治氛围，增强妇女儿童依法维权意识，引导社会公众建立和维护平等、和睦、文明的婚姻家庭关系，进一步增强人民群众的获得感、幸福感、安全感，为建设城乡一体繁荣幸福新自贡创造和谐稳定的社会环境。</w:t>
            </w:r>
          </w:p>
        </w:tc>
        <w:tc>
          <w:tcPr>
            <w:tcW w:w="540"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673"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05"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73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信访回复率100%</w:t>
            </w:r>
          </w:p>
        </w:tc>
        <w:tc>
          <w:tcPr>
            <w:tcW w:w="345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仿宋_GB2312"/>
                <w:kern w:val="0"/>
                <w:sz w:val="16"/>
                <w:szCs w:val="16"/>
              </w:rPr>
            </w:pPr>
            <w:r>
              <w:rPr>
                <w:rFonts w:hint="eastAsia" w:cs="仿宋_GB2312"/>
                <w:kern w:val="0"/>
                <w:sz w:val="16"/>
                <w:szCs w:val="16"/>
              </w:rPr>
              <w:t>2021年1月1日—2021年12月31日，自贡市妇联共接待信访53例，信访回复率100%。</w:t>
            </w:r>
          </w:p>
          <w:p>
            <w:pPr>
              <w:widowControl/>
              <w:spacing w:line="240" w:lineRule="exact"/>
              <w:jc w:val="left"/>
              <w:rPr>
                <w:rFonts w:cs="仿宋_GB2312"/>
                <w:kern w:val="0"/>
                <w:sz w:val="16"/>
                <w:szCs w:val="16"/>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732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1000</w:t>
            </w:r>
          </w:p>
        </w:tc>
        <w:tc>
          <w:tcPr>
            <w:tcW w:w="6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ind w:firstLine="360" w:firstLineChars="200"/>
        <w:rPr>
          <w:rFonts w:cs="仿宋_GB2312"/>
          <w:color w:val="000000"/>
          <w:kern w:val="0"/>
          <w:lang w:bidi="ar"/>
        </w:rPr>
        <w:sectPr>
          <w:footerReference r:id="rId3" w:type="default"/>
          <w:pgSz w:w="11905" w:h="16838"/>
          <w:pgMar w:top="2098" w:right="1474" w:bottom="1984" w:left="1587" w:header="850" w:footer="992" w:gutter="0"/>
          <w:cols w:space="720" w:num="1"/>
          <w:docGrid w:type="lines" w:linePitch="439" w:charSpace="0"/>
        </w:sect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fixed"/>
        <w:tblCellMar>
          <w:top w:w="0" w:type="dxa"/>
          <w:left w:w="108" w:type="dxa"/>
          <w:bottom w:w="0" w:type="dxa"/>
          <w:right w:w="108" w:type="dxa"/>
        </w:tblCellMar>
      </w:tblPr>
      <w:tblGrid>
        <w:gridCol w:w="586"/>
        <w:gridCol w:w="663"/>
        <w:gridCol w:w="1421"/>
        <w:gridCol w:w="457"/>
        <w:gridCol w:w="1096"/>
        <w:gridCol w:w="584"/>
        <w:gridCol w:w="573"/>
        <w:gridCol w:w="1123"/>
        <w:gridCol w:w="282"/>
        <w:gridCol w:w="427"/>
        <w:gridCol w:w="282"/>
        <w:gridCol w:w="353"/>
        <w:gridCol w:w="526"/>
        <w:gridCol w:w="707"/>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83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强基固本再提升行动  </w:t>
            </w:r>
          </w:p>
        </w:tc>
      </w:tr>
      <w:tr>
        <w:tblPrEx>
          <w:tblCellMar>
            <w:top w:w="0" w:type="dxa"/>
            <w:left w:w="108" w:type="dxa"/>
            <w:bottom w:w="0" w:type="dxa"/>
            <w:right w:w="108" w:type="dxa"/>
          </w:tblCellMar>
        </w:tblPrEx>
        <w:trPr>
          <w:trHeight w:val="300" w:hRule="exac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9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2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7.95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99.38%</w:t>
            </w: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7.95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99.38%</w:t>
            </w: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479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8727" w:hRule="exact"/>
          <w:jc w:val="center"/>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94"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eastAsia="宋体" w:cs="宋体"/>
                <w:kern w:val="0"/>
                <w:sz w:val="18"/>
                <w:szCs w:val="18"/>
              </w:rPr>
              <w:t>通过夯实基础激发新动能、拓展网络构建新形态、创新模式凝聚新力量，纵深推进妇联改革。</w:t>
            </w: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tc>
        <w:tc>
          <w:tcPr>
            <w:tcW w:w="3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b/>
                <w:bCs/>
                <w:kern w:val="0"/>
                <w:sz w:val="18"/>
                <w:szCs w:val="18"/>
              </w:rPr>
              <w:t>一是进一步</w:t>
            </w:r>
            <w:r>
              <w:rPr>
                <w:rFonts w:eastAsia="宋体" w:cs="宋体"/>
                <w:b/>
                <w:bCs/>
                <w:kern w:val="0"/>
                <w:sz w:val="18"/>
                <w:szCs w:val="18"/>
              </w:rPr>
              <w:t>夯实基础激发新动能</w:t>
            </w:r>
            <w:r>
              <w:rPr>
                <w:rFonts w:hint="eastAsia" w:eastAsia="宋体" w:cs="宋体"/>
                <w:b/>
                <w:bCs/>
                <w:kern w:val="0"/>
                <w:sz w:val="18"/>
                <w:szCs w:val="18"/>
              </w:rPr>
              <w:t>。</w:t>
            </w:r>
            <w:r>
              <w:rPr>
                <w:rFonts w:eastAsia="宋体" w:cs="宋体"/>
                <w:kern w:val="0"/>
                <w:sz w:val="18"/>
                <w:szCs w:val="18"/>
              </w:rPr>
              <w:t>紧紧抓住基层换届契机，高质量完成</w:t>
            </w:r>
            <w:r>
              <w:rPr>
                <w:rFonts w:hint="eastAsia" w:eastAsia="宋体" w:cs="宋体"/>
                <w:kern w:val="0"/>
                <w:sz w:val="18"/>
                <w:szCs w:val="18"/>
              </w:rPr>
              <w:t>90</w:t>
            </w:r>
            <w:r>
              <w:rPr>
                <w:rFonts w:eastAsia="宋体" w:cs="宋体"/>
                <w:kern w:val="0"/>
                <w:sz w:val="18"/>
                <w:szCs w:val="18"/>
              </w:rPr>
              <w:t>个乡镇（街道)、983个村（社区）妇联换届工作，配齐配强基层妇联工作“领头雁”3327名，全面实现村(居)委班子中100%有女性、村（社区）妇联主席100%进村(居)“两委”，乡镇（街道）妇联主席100%享受乡镇党政领导副职的政治、生活待遇，1.3万余基层妇联执委实现基层工作“一张网”格局。</w:t>
            </w:r>
            <w:r>
              <w:rPr>
                <w:rFonts w:hint="eastAsia" w:eastAsia="宋体" w:cs="宋体"/>
                <w:b/>
                <w:bCs/>
                <w:kern w:val="0"/>
                <w:sz w:val="18"/>
                <w:szCs w:val="18"/>
              </w:rPr>
              <w:t>二是进一步</w:t>
            </w:r>
            <w:r>
              <w:rPr>
                <w:rFonts w:eastAsia="宋体" w:cs="宋体"/>
                <w:b/>
                <w:bCs/>
                <w:kern w:val="0"/>
                <w:sz w:val="18"/>
                <w:szCs w:val="18"/>
              </w:rPr>
              <w:t>拓展网络构建新形态</w:t>
            </w:r>
            <w:r>
              <w:rPr>
                <w:rFonts w:hint="eastAsia" w:eastAsia="宋体" w:cs="宋体"/>
                <w:b/>
                <w:bCs/>
                <w:kern w:val="0"/>
                <w:sz w:val="18"/>
                <w:szCs w:val="18"/>
              </w:rPr>
              <w:t>。</w:t>
            </w:r>
            <w:r>
              <w:rPr>
                <w:rFonts w:hint="eastAsia" w:eastAsia="宋体" w:cs="宋体"/>
                <w:kern w:val="0"/>
                <w:sz w:val="18"/>
                <w:szCs w:val="18"/>
              </w:rPr>
              <w:t xml:space="preserve"> 持续深入打造“中兴耐磨”、“高新美育”、“爱满家”、自贡建行“劳动者港湾”、自贡移动“数字互联”等各类示范特色“妇女微家”226个。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爱购凉山”推介活动、全市示范“妇女微家”总结会等各类特色活动42场，强化基层妇联枢纽作用和示范效应，关心凝聚各类优秀巾帼力量。</w:t>
            </w:r>
            <w:r>
              <w:rPr>
                <w:rFonts w:hint="eastAsia" w:eastAsia="宋体" w:cs="宋体"/>
                <w:b/>
                <w:bCs/>
                <w:kern w:val="0"/>
                <w:sz w:val="18"/>
                <w:szCs w:val="18"/>
              </w:rPr>
              <w:t>三是进一步</w:t>
            </w:r>
            <w:r>
              <w:rPr>
                <w:rFonts w:eastAsia="宋体" w:cs="宋体"/>
                <w:b/>
                <w:bCs/>
                <w:kern w:val="0"/>
                <w:sz w:val="18"/>
                <w:szCs w:val="18"/>
              </w:rPr>
              <w:t>创新模式凝聚新力量</w:t>
            </w:r>
            <w:r>
              <w:rPr>
                <w:rFonts w:hint="eastAsia" w:eastAsia="宋体" w:cs="宋体"/>
                <w:b/>
                <w:bCs/>
                <w:kern w:val="0"/>
                <w:sz w:val="18"/>
                <w:szCs w:val="18"/>
              </w:rPr>
              <w:t>。</w:t>
            </w:r>
            <w:r>
              <w:rPr>
                <w:rFonts w:hint="eastAsia" w:eastAsia="宋体" w:cs="宋体"/>
                <w:kern w:val="0"/>
                <w:sz w:val="18"/>
                <w:szCs w:val="18"/>
              </w:rPr>
              <w:t>与市委组织部等单位联合印发《关于加强全市两新组织党建带群建工作的实施方案》，推动新经济领域灵活设置妇女组织，社会组织中妇女组织应建尽建。及时出台自贡市妇联《新经济组织、新社会组织建立妇女组织工作基本流程》，明确建立妇女组织筹备阶段、选举阶段和建立后工作清单等内容，对“两新”组织建立妇女组织具有非常强的指导性，得到省妇联和市委组织部的好评。 推动中共自贡市女企业协会党支部正式成立，</w:t>
            </w:r>
            <w:r>
              <w:rPr>
                <w:rFonts w:eastAsia="宋体" w:cs="宋体"/>
                <w:kern w:val="0"/>
                <w:sz w:val="18"/>
                <w:szCs w:val="18"/>
              </w:rPr>
              <w:t>在新领域、新业态、新阶层、新群体中建立妇女组织9个，</w:t>
            </w:r>
            <w:r>
              <w:rPr>
                <w:rFonts w:hint="eastAsia" w:eastAsia="宋体" w:cs="宋体"/>
                <w:kern w:val="0"/>
                <w:sz w:val="18"/>
                <w:szCs w:val="18"/>
              </w:rPr>
              <w:t>在全省领先。持续推动孵化、培育、服务妇女儿童社会组织为功能的“幸福使者公</w:t>
            </w:r>
          </w:p>
          <w:p>
            <w:pPr>
              <w:pStyle w:val="2"/>
              <w:ind w:left="640" w:firstLine="360"/>
              <w:rPr>
                <w:rFonts w:eastAsia="宋体" w:cs="宋体"/>
                <w:kern w:val="0"/>
                <w:sz w:val="18"/>
                <w:szCs w:val="18"/>
              </w:rPr>
            </w:pPr>
          </w:p>
          <w:p>
            <w:pPr>
              <w:pStyle w:val="4"/>
            </w:pPr>
          </w:p>
          <w:p>
            <w:pPr>
              <w:widowControl/>
              <w:spacing w:line="240" w:lineRule="exact"/>
              <w:rPr>
                <w:rFonts w:eastAsia="宋体" w:cs="宋体"/>
                <w:kern w:val="0"/>
                <w:sz w:val="18"/>
                <w:szCs w:val="18"/>
              </w:rPr>
            </w:pPr>
          </w:p>
        </w:tc>
      </w:tr>
      <w:tr>
        <w:tblPrEx>
          <w:tblCellMar>
            <w:top w:w="0" w:type="dxa"/>
            <w:left w:w="108" w:type="dxa"/>
            <w:bottom w:w="0" w:type="dxa"/>
            <w:right w:w="108" w:type="dxa"/>
          </w:tblCellMar>
        </w:tblPrEx>
        <w:trPr>
          <w:trHeight w:val="7708" w:hRule="exact"/>
          <w:jc w:val="center"/>
        </w:trPr>
        <w:tc>
          <w:tcPr>
            <w:tcW w:w="58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9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3700" w:type="dxa"/>
            <w:gridSpan w:val="7"/>
            <w:tcBorders>
              <w:top w:val="single" w:color="auto" w:sz="4" w:space="0"/>
              <w:left w:val="nil"/>
              <w:bottom w:val="single" w:color="auto" w:sz="4" w:space="0"/>
              <w:right w:val="single" w:color="auto" w:sz="4" w:space="0"/>
            </w:tcBorders>
          </w:tcPr>
          <w:p>
            <w:pPr>
              <w:widowControl/>
              <w:spacing w:line="240" w:lineRule="exact"/>
              <w:rPr>
                <w:rFonts w:eastAsia="宋体" w:cs="宋体"/>
                <w:kern w:val="0"/>
                <w:sz w:val="18"/>
                <w:szCs w:val="18"/>
              </w:rPr>
            </w:pPr>
            <w:r>
              <w:rPr>
                <w:rFonts w:hint="eastAsia" w:eastAsia="宋体" w:cs="宋体"/>
                <w:kern w:val="0"/>
                <w:sz w:val="18"/>
                <w:szCs w:val="18"/>
              </w:rPr>
              <w:t>益平台”建设，入驻社会组织35家，外联40余。</w:t>
            </w:r>
            <w:r>
              <w:rPr>
                <w:rFonts w:eastAsia="宋体" w:cs="宋体"/>
                <w:kern w:val="0"/>
                <w:sz w:val="18"/>
                <w:szCs w:val="18"/>
              </w:rPr>
              <w:t>创新资源整合和联动机制，积极牵线搭桥，促进天府新区商会与我市携手深化文旅产业合作，擦亮“盐龙灯食”城市名片。深化与重庆市永川、江津、綦江、荣昌四区妇联战略合作，开展</w:t>
            </w:r>
            <w:r>
              <w:rPr>
                <w:rFonts w:hint="eastAsia" w:eastAsia="宋体" w:cs="宋体"/>
                <w:kern w:val="0"/>
                <w:sz w:val="18"/>
                <w:szCs w:val="18"/>
              </w:rPr>
              <w:t>社会组织、企业、家教专家等</w:t>
            </w:r>
            <w:r>
              <w:rPr>
                <w:rFonts w:eastAsia="宋体" w:cs="宋体"/>
                <w:kern w:val="0"/>
                <w:sz w:val="18"/>
                <w:szCs w:val="18"/>
              </w:rPr>
              <w:t>交流互访</w:t>
            </w:r>
            <w:r>
              <w:rPr>
                <w:rFonts w:hint="eastAsia" w:eastAsia="宋体" w:cs="宋体"/>
                <w:kern w:val="0"/>
                <w:sz w:val="18"/>
                <w:szCs w:val="18"/>
              </w:rPr>
              <w:t>活动</w:t>
            </w:r>
            <w:r>
              <w:rPr>
                <w:rFonts w:eastAsia="宋体" w:cs="宋体"/>
                <w:kern w:val="0"/>
                <w:sz w:val="18"/>
                <w:szCs w:val="18"/>
              </w:rPr>
              <w:t>，共商合作新机制。与自贡建行、自贡移动订战略合作协议，推动妇女工作融入5G运用和乡村振兴大环境。开展市妇联2021年春节集中走访慰问专家人才活动，</w:t>
            </w:r>
            <w:r>
              <w:rPr>
                <w:rFonts w:hint="eastAsia" w:eastAsia="宋体" w:cs="宋体"/>
                <w:kern w:val="0"/>
                <w:sz w:val="18"/>
                <w:szCs w:val="18"/>
              </w:rPr>
              <w:t>到四川轻化工大学等开展高校人才交流活动，</w:t>
            </w:r>
            <w:r>
              <w:rPr>
                <w:rFonts w:eastAsia="宋体" w:cs="宋体"/>
                <w:kern w:val="0"/>
                <w:sz w:val="18"/>
                <w:szCs w:val="18"/>
              </w:rPr>
              <w:t>积极为女性“三支队伍”优秀人才、社工人才、智库专家等解难题办实事，积极引导广大女性人才满腔热忱投身 再造产业自贡新征程。</w:t>
            </w:r>
            <w:r>
              <w:rPr>
                <w:rFonts w:hint="eastAsia" w:eastAsia="宋体" w:cs="宋体"/>
                <w:kern w:val="0"/>
                <w:sz w:val="18"/>
                <w:szCs w:val="18"/>
              </w:rPr>
              <w:t xml:space="preserve"> </w:t>
            </w:r>
          </w:p>
          <w:p>
            <w:pPr>
              <w:pStyle w:val="2"/>
              <w:spacing w:line="240" w:lineRule="exact"/>
              <w:ind w:left="0" w:leftChars="0" w:firstLine="360"/>
              <w:rPr>
                <w:rFonts w:eastAsia="宋体"/>
              </w:rPr>
            </w:pPr>
            <w:r>
              <w:rPr>
                <w:rFonts w:eastAsia="宋体" w:cs="宋体"/>
                <w:kern w:val="0"/>
                <w:sz w:val="18"/>
                <w:szCs w:val="18"/>
              </w:rPr>
              <w:t>2021</w:t>
            </w:r>
            <w:r>
              <w:rPr>
                <w:rFonts w:hint="eastAsia" w:eastAsia="宋体" w:cs="宋体"/>
                <w:kern w:val="0"/>
                <w:sz w:val="18"/>
                <w:szCs w:val="18"/>
              </w:rPr>
              <w:t xml:space="preserve">年，沿滩区联络镇高滩村妇联荣获全国妇联系统先进集体；市妇联被命名为全省民族团结示范单位；市妇联在改革“破难行动”工作中成效显著，孵化和培养妇女儿童社会组织工作中全省领先，得到省妇联通报表扬；富顺县妇联、自流井区磨子井社区妇联荣获省妇联基层组织建设工作先进集体；2名妇联干部荣获省妇联基层组织建设工作先进个人；市妇联推进村（社区）妇联换届工作、实施“省外妇女之家”建设项目、推荐女科技工作者符宇航事迹等被《四川女性》专题报道；整理编辑市妇联和沿滩区妇联“破难行动”案例，入选《四川省基层妇联组织建设与改革典型》；整理编辑执委履职案例3篇，入选《四川省妇联庆祝建党100周年优秀案例》。 </w:t>
            </w:r>
          </w:p>
        </w:tc>
      </w:tr>
      <w:tr>
        <w:tblPrEx>
          <w:tblCellMar>
            <w:top w:w="0" w:type="dxa"/>
            <w:left w:w="108" w:type="dxa"/>
            <w:bottom w:w="0" w:type="dxa"/>
            <w:right w:w="108" w:type="dxa"/>
          </w:tblCellMar>
        </w:tblPrEx>
        <w:trPr>
          <w:trHeight w:val="715" w:hRule="exact"/>
          <w:jc w:val="center"/>
        </w:trPr>
        <w:tc>
          <w:tcPr>
            <w:tcW w:w="586"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66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42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1063"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指标1：举办社会组织参访活动交流</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712"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指标2：指导示范妇女微家开展活动。</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4次</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42次</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06"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指标3：开展高校交流活动1次</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1次</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1次</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925"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37" w:type="dxa"/>
            <w:gridSpan w:val="3"/>
            <w:tcBorders>
              <w:top w:val="single" w:color="auto" w:sz="4" w:space="0"/>
              <w:left w:val="nil"/>
              <w:right w:val="single" w:color="auto" w:sz="4" w:space="0"/>
            </w:tcBorders>
            <w:vAlign w:val="center"/>
          </w:tcPr>
          <w:p>
            <w:pPr>
              <w:widowControl/>
              <w:spacing w:line="240" w:lineRule="exact"/>
              <w:jc w:val="left"/>
              <w:rPr>
                <w:rFonts w:eastAsia="宋体" w:cs="宋体"/>
                <w:color w:val="000000"/>
                <w:kern w:val="0"/>
                <w:sz w:val="10"/>
                <w:szCs w:val="10"/>
              </w:rPr>
            </w:pPr>
            <w:r>
              <w:rPr>
                <w:rFonts w:hint="eastAsia" w:eastAsia="宋体" w:cs="宋体"/>
                <w:color w:val="000000"/>
                <w:kern w:val="0"/>
                <w:sz w:val="18"/>
                <w:szCs w:val="18"/>
              </w:rPr>
              <w:t>通过开展高校交流活动1次、 社会组织、企业、家教专家等交流互访活动，“示范妇女微家”特色亮点工作展示评比活动等，进一步延伸工作手臂，引导广大妇女有序参与城乡社区治理、基层公共事务和公益事业，充分激发基层妇干和妇女干事内生动力。</w:t>
            </w:r>
          </w:p>
        </w:tc>
        <w:tc>
          <w:tcPr>
            <w:tcW w:w="573" w:type="dxa"/>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优良</w:t>
            </w:r>
          </w:p>
        </w:tc>
        <w:tc>
          <w:tcPr>
            <w:tcW w:w="1123" w:type="dxa"/>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优</w:t>
            </w:r>
          </w:p>
        </w:tc>
        <w:tc>
          <w:tcPr>
            <w:tcW w:w="709"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13"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指标1：持续推进与四川卫生康复职业学校、浙大创新中心等高校基地合作事项</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1个</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2个</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08"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6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指标1：继续推动驻外“妇女之家”建设工作，开展北京自贡企业商会“妇女之家”微党课·创业分享暨“彝心彝意 爱购凉山”推介活动。</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r>
      <w:tr>
        <w:tblPrEx>
          <w:tblCellMar>
            <w:top w:w="0" w:type="dxa"/>
            <w:left w:w="108" w:type="dxa"/>
            <w:bottom w:w="0" w:type="dxa"/>
            <w:right w:w="108" w:type="dxa"/>
          </w:tblCellMar>
        </w:tblPrEx>
        <w:trPr>
          <w:trHeight w:val="2337"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持续推动在新领域、新业态、新阶层、新群体中建立妇女组织9个；持续深入打造“中兴耐磨”、“高新美育”、“爱满家”、自贡建行“劳动者港湾”、自贡移动“数字互联”等各类示范特色“妇女微家”226个。</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51"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指标1：持续推动幸福使者公益平台建设</w:t>
            </w:r>
            <w:r>
              <w:rPr>
                <w:rFonts w:hint="eastAsia" w:eastAsia="宋体" w:cs="宋体"/>
                <w:kern w:val="0"/>
                <w:sz w:val="18"/>
                <w:szCs w:val="18"/>
              </w:rPr>
              <w:t>。</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持续</w:t>
            </w:r>
          </w:p>
          <w:p>
            <w:pPr>
              <w:widowControl/>
              <w:spacing w:line="240" w:lineRule="exact"/>
              <w:jc w:val="center"/>
              <w:rPr>
                <w:rFonts w:eastAsia="宋体" w:cs="宋体"/>
                <w:kern w:val="0"/>
                <w:sz w:val="18"/>
                <w:szCs w:val="18"/>
              </w:rPr>
            </w:pPr>
            <w:r>
              <w:rPr>
                <w:rFonts w:hint="eastAsia" w:eastAsia="宋体" w:cs="宋体"/>
                <w:kern w:val="0"/>
                <w:sz w:val="18"/>
                <w:szCs w:val="18"/>
              </w:rPr>
              <w:t>推进</w:t>
            </w:r>
          </w:p>
        </w:tc>
        <w:tc>
          <w:tcPr>
            <w:tcW w:w="1123"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持续有效推进，新增5家，共40家。</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762"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服务对象满意率</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≥90%</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0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 xml:space="preserve"> 100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 xml:space="preserve">99.9 </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autofit"/>
        <w:tblCellMar>
          <w:top w:w="0" w:type="dxa"/>
          <w:left w:w="108" w:type="dxa"/>
          <w:bottom w:w="0" w:type="dxa"/>
          <w:right w:w="108" w:type="dxa"/>
        </w:tblCellMar>
      </w:tblPr>
      <w:tblGrid>
        <w:gridCol w:w="579"/>
        <w:gridCol w:w="659"/>
        <w:gridCol w:w="1393"/>
        <w:gridCol w:w="444"/>
        <w:gridCol w:w="1075"/>
        <w:gridCol w:w="566"/>
        <w:gridCol w:w="576"/>
        <w:gridCol w:w="1108"/>
        <w:gridCol w:w="276"/>
        <w:gridCol w:w="284"/>
        <w:gridCol w:w="505"/>
        <w:gridCol w:w="211"/>
        <w:gridCol w:w="709"/>
        <w:gridCol w:w="695"/>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292"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84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综合素质再提升行动  </w:t>
            </w:r>
          </w:p>
        </w:tc>
      </w:tr>
      <w:tr>
        <w:tblPrEx>
          <w:tblCellMar>
            <w:top w:w="0" w:type="dxa"/>
            <w:left w:w="108" w:type="dxa"/>
            <w:bottom w:w="0" w:type="dxa"/>
            <w:right w:w="108" w:type="dxa"/>
          </w:tblCellMar>
        </w:tblPrEx>
        <w:trPr>
          <w:trHeight w:val="30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05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40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2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12.98</w:t>
            </w: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99.85 %</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9.9 </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12.98</w:t>
            </w: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99.85 %</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7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471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78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8727" w:hRule="exact"/>
          <w:jc w:val="center"/>
        </w:trPr>
        <w:tc>
          <w:tcPr>
            <w:tcW w:w="57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13"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 xml:space="preserve"> </w:t>
            </w: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r>
              <w:rPr>
                <w:rFonts w:eastAsia="宋体" w:cs="宋体"/>
                <w:kern w:val="0"/>
                <w:sz w:val="18"/>
                <w:szCs w:val="18"/>
              </w:rPr>
              <w:t>持续实施“基层妇联领头雁行动计划”，增强做好新时代妇女群众工作的本领。</w:t>
            </w: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tc>
        <w:tc>
          <w:tcPr>
            <w:tcW w:w="3788" w:type="dxa"/>
            <w:gridSpan w:val="7"/>
            <w:tcBorders>
              <w:top w:val="single" w:color="auto" w:sz="4" w:space="0"/>
              <w:left w:val="nil"/>
              <w:bottom w:val="single" w:color="auto" w:sz="4" w:space="0"/>
              <w:right w:val="single" w:color="auto" w:sz="4" w:space="0"/>
            </w:tcBorders>
          </w:tcPr>
          <w:p>
            <w:pPr>
              <w:widowControl/>
              <w:spacing w:line="240" w:lineRule="exact"/>
              <w:rPr>
                <w:rFonts w:eastAsia="宋体" w:cs="宋体"/>
                <w:kern w:val="0"/>
                <w:sz w:val="18"/>
                <w:szCs w:val="18"/>
              </w:rPr>
            </w:pPr>
            <w:r>
              <w:rPr>
                <w:rFonts w:hint="eastAsia" w:eastAsia="宋体" w:cs="宋体"/>
                <w:b/>
                <w:bCs/>
                <w:kern w:val="0"/>
                <w:sz w:val="18"/>
                <w:szCs w:val="18"/>
              </w:rPr>
              <w:t xml:space="preserve"> 一是持续强化思想引领。</w:t>
            </w:r>
            <w:r>
              <w:rPr>
                <w:rFonts w:hint="eastAsia" w:eastAsia="宋体" w:cs="宋体"/>
                <w:kern w:val="0"/>
                <w:sz w:val="18"/>
                <w:szCs w:val="18"/>
              </w:rPr>
              <w:t xml:space="preserve"> 创新“四史”教育活动载体，以妇女群众喜闻乐见的方式，开展“永远跟党走——巾帼心向党 奋斗新征程”自贡市党史学习群众性宣传教育活动暨第二届“紫薇花开”广场舞大赛，全市136支广场舞队伍参加，上万名妇女姐妹齐跳《共圆中国梦》《在希望的田野上》。牵头编排情景剧《未来有我，江姐精神永流传》，由自贡市江姐中学学生参演，在“百年妇运 璀璨四川——四川省妇联庆祝中国共产党成立100周年大会”上表演获得圆满成功，得到省市领导充分肯定。 充分运用“妇”字号“一微一网一平台”等新媒体矩阵，讲述党史中的妇运发展史。策划推出两个“100”，甄选向警予、李贞、刘洋等100位巾帼英雄人物故事，推送《献礼建党百年——讲巾帼英雄故事》融媒体视频100期；精心策划《巾帼心向党 奋斗新征程——盐都党的女儿事迹展播》100期，讲述江竹筠、毛慈影等盐都巾帼英雄故事和李嘉、曾道群、李爽乐等自贡本土优秀女性先进事迹，激励盐都姐妹汲取奋进力量，累计点击阅读量达10万人次以上。</w:t>
            </w:r>
            <w:r>
              <w:rPr>
                <w:rFonts w:hint="eastAsia" w:eastAsia="宋体" w:cs="宋体"/>
                <w:b/>
                <w:bCs/>
                <w:kern w:val="0"/>
                <w:sz w:val="18"/>
                <w:szCs w:val="18"/>
              </w:rPr>
              <w:t>二是全面提升队伍素质。</w:t>
            </w:r>
            <w:r>
              <w:rPr>
                <w:rFonts w:hint="eastAsia" w:eastAsia="宋体" w:cs="宋体"/>
                <w:kern w:val="0"/>
                <w:sz w:val="18"/>
                <w:szCs w:val="18"/>
              </w:rPr>
              <w:t>大力开展换届后新一轮妇联系统干部培训工作。首次采用网络在线直播方式，举办市级2021年执委履职能力培训班、婚调干部培训班、区县“基层妇联干部、执委培训班”等共计25期，持续赋能各级妇女干部4000余人。拓展培训模式，持续举办“巾帼学堂•紫薇绽放”法律、健康、安全知识培训和女性农民工返乡创业就业、彩妆公益培训等共计20期，精准服务机关、</w:t>
            </w:r>
            <w:r>
              <w:rPr>
                <w:rFonts w:hint="eastAsia" w:eastAsia="宋体" w:cs="宋体"/>
                <w:kern w:val="0"/>
                <w:sz w:val="18"/>
                <w:szCs w:val="18"/>
                <w:lang w:eastAsia="zh-CN"/>
              </w:rPr>
              <w:t>企事业</w:t>
            </w:r>
            <w:r>
              <w:rPr>
                <w:rFonts w:hint="eastAsia" w:eastAsia="宋体" w:cs="宋体"/>
                <w:kern w:val="0"/>
                <w:sz w:val="18"/>
                <w:szCs w:val="18"/>
              </w:rPr>
              <w:t>单位和基层妇女群众5000余人。努力争取市委重视，组织召开纪念“三八”妇女节111周年优秀女性代表座谈会，来自各行业各条战线的17名优秀女性代表参加会议，提出建议意见31条，由市委目标绩效办进行任务分解，推动市级16个部门督办落实。</w:t>
            </w:r>
          </w:p>
        </w:tc>
      </w:tr>
      <w:tr>
        <w:tblPrEx>
          <w:tblCellMar>
            <w:top w:w="0" w:type="dxa"/>
            <w:left w:w="108" w:type="dxa"/>
            <w:bottom w:w="0" w:type="dxa"/>
            <w:right w:w="108" w:type="dxa"/>
          </w:tblCellMar>
        </w:tblPrEx>
        <w:trPr>
          <w:trHeight w:val="4853" w:hRule="exact"/>
          <w:jc w:val="center"/>
        </w:trPr>
        <w:tc>
          <w:tcPr>
            <w:tcW w:w="57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13"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p>
        </w:tc>
        <w:tc>
          <w:tcPr>
            <w:tcW w:w="3788" w:type="dxa"/>
            <w:gridSpan w:val="7"/>
            <w:tcBorders>
              <w:top w:val="single" w:color="auto" w:sz="4" w:space="0"/>
              <w:left w:val="nil"/>
              <w:bottom w:val="single" w:color="auto" w:sz="4" w:space="0"/>
              <w:right w:val="single" w:color="auto" w:sz="4" w:space="0"/>
            </w:tcBorders>
          </w:tcPr>
          <w:p>
            <w:pPr>
              <w:widowControl/>
              <w:spacing w:line="240" w:lineRule="exact"/>
              <w:rPr>
                <w:rFonts w:eastAsia="宋体" w:cs="宋体"/>
                <w:b/>
                <w:bCs/>
                <w:kern w:val="0"/>
                <w:sz w:val="18"/>
                <w:szCs w:val="18"/>
              </w:rPr>
            </w:pPr>
            <w:r>
              <w:rPr>
                <w:rFonts w:hint="eastAsia" w:eastAsia="宋体" w:cs="宋体"/>
                <w:b/>
                <w:bCs/>
                <w:kern w:val="0"/>
                <w:sz w:val="18"/>
                <w:szCs w:val="18"/>
              </w:rPr>
              <w:t>三是着力创树活动品牌。</w:t>
            </w:r>
            <w:r>
              <w:rPr>
                <w:rFonts w:hint="eastAsia" w:eastAsia="宋体" w:cs="宋体"/>
                <w:kern w:val="0"/>
                <w:sz w:val="18"/>
                <w:szCs w:val="18"/>
              </w:rPr>
              <w:t>成功申报全国妇联先进集体1个；四川省民族团结示范单位1个；四川省组织建设先进集体2个、先进个人2个。市妇联首创《川渝地区“红梅杯”青少年女子足球邀请赛项目》，以构想类第二名的优异成绩参加了川渝妇女儿童公益项目大赛决赛暨颁奖仪式并签订牵手计划。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500余场，强化基层妇联枢纽作用和示范效应，关心凝聚各类优秀巾帼力量。加强外宣工作，全年四川封面新闻宣传报道14次，四川幸福女性宣传报道10次，自贡网宣传报道28次，看度自贡宣传报道14次。</w:t>
            </w:r>
          </w:p>
        </w:tc>
      </w:tr>
      <w:tr>
        <w:tblPrEx>
          <w:tblCellMar>
            <w:top w:w="0" w:type="dxa"/>
            <w:left w:w="108" w:type="dxa"/>
            <w:bottom w:w="0" w:type="dxa"/>
            <w:right w:w="108" w:type="dxa"/>
          </w:tblCellMar>
        </w:tblPrEx>
        <w:trPr>
          <w:trHeight w:val="715" w:hRule="exact"/>
          <w:jc w:val="center"/>
        </w:trPr>
        <w:tc>
          <w:tcPr>
            <w:tcW w:w="579"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659"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39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715"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13"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 举办执委履职培训班</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249"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 指导各区县妇联举办</w:t>
            </w:r>
            <w:r>
              <w:rPr>
                <w:rFonts w:hint="eastAsia" w:eastAsia="宋体" w:cs="宋体"/>
                <w:kern w:val="0"/>
                <w:sz w:val="18"/>
                <w:szCs w:val="18"/>
              </w:rPr>
              <w:t xml:space="preserve">婚调干部培训班、区县“基层妇联干部、执委培训班”等 </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7</w:t>
            </w:r>
          </w:p>
        </w:tc>
        <w:tc>
          <w:tcPr>
            <w:tcW w:w="1108"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25期</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925"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 培训市、县、乡、村四级妇联履职优秀的执委代表。</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60人，2天</w:t>
            </w:r>
          </w:p>
        </w:tc>
        <w:tc>
          <w:tcPr>
            <w:tcW w:w="1108"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100人，5天</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ind w:firstLine="180" w:firstLineChars="100"/>
              <w:rPr>
                <w:rFonts w:eastAsia="宋体" w:cs="宋体"/>
                <w:kern w:val="0"/>
                <w:sz w:val="18"/>
                <w:szCs w:val="18"/>
              </w:rPr>
            </w:pPr>
            <w:r>
              <w:rPr>
                <w:rFonts w:hint="eastAsia" w:eastAsia="宋体" w:cs="宋体"/>
                <w:kern w:val="0"/>
                <w:sz w:val="18"/>
                <w:szCs w:val="18"/>
              </w:rPr>
              <w:t>20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76"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 2021年10月前举办</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1个</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r>
              <w:rPr>
                <w:rFonts w:hint="eastAsia" w:eastAsia="宋体" w:cs="宋体"/>
                <w:color w:val="000000"/>
                <w:kern w:val="0"/>
                <w:sz w:val="18"/>
                <w:szCs w:val="18"/>
              </w:rPr>
              <w:t>2021年11月前举办</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因疫情原因延后1个月</w:t>
            </w: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5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指标1：提升妇联干部服务妇女儿童和家庭的能力，持续有效推动妇女儿童事业发展。</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08"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113"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 提高妇联干部把握方向、把握大势、把握全局的能力，增强做好新时代妇女群众工作的本领。发挥基层执委队伍作用，提升基层执委服务妇女儿童和家庭的能力。</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生态效益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eastAsia="宋体" w:cs="宋体"/>
                <w:color w:val="000000"/>
                <w:kern w:val="0"/>
                <w:sz w:val="18"/>
                <w:szCs w:val="18"/>
              </w:rPr>
              <w:t>指标1：</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42"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77"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 xml:space="preserve">指标1： </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c>
          <w:tcPr>
            <w:tcW w:w="1108"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975"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服务对象满意率</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≥90%</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95%</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40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 xml:space="preserve">100 </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rPr>
          <w:rFonts w:eastAsia="宋体" w:cs="宋体"/>
          <w:kern w:val="0"/>
          <w:sz w:val="18"/>
          <w:szCs w:val="18"/>
        </w:r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p/>
    <w:p/>
    <w:p/>
    <w:p/>
    <w:p/>
    <w:p/>
    <w:p/>
    <w:p/>
    <w:p/>
    <w:p/>
    <w:p/>
    <w:p/>
    <w:p/>
    <w:p>
      <w:pPr>
        <w:ind w:firstLine="548"/>
        <w:jc w:val="left"/>
      </w:pPr>
    </w:p>
    <w:p>
      <w:pPr>
        <w:pStyle w:val="7"/>
        <w:spacing w:before="131"/>
        <w:rPr>
          <w:rFonts w:ascii="Times New Roman"/>
        </w:rPr>
      </w:pPr>
    </w:p>
    <w:p/>
    <w:p>
      <w:pPr>
        <w:pStyle w:val="7"/>
        <w:spacing w:before="131"/>
        <w:rPr>
          <w:rFonts w:ascii="Times New Roman"/>
        </w:rPr>
      </w:pPr>
    </w:p>
    <w:tbl>
      <w:tblPr>
        <w:tblStyle w:val="12"/>
        <w:tblW w:w="9080" w:type="dxa"/>
        <w:jc w:val="center"/>
        <w:tblLayout w:type="autofit"/>
        <w:tblCellMar>
          <w:top w:w="0" w:type="dxa"/>
          <w:left w:w="108" w:type="dxa"/>
          <w:bottom w:w="0" w:type="dxa"/>
          <w:right w:w="108" w:type="dxa"/>
        </w:tblCellMar>
      </w:tblPr>
      <w:tblGrid>
        <w:gridCol w:w="571"/>
        <w:gridCol w:w="945"/>
        <w:gridCol w:w="1062"/>
        <w:gridCol w:w="674"/>
        <w:gridCol w:w="1077"/>
        <w:gridCol w:w="261"/>
        <w:gridCol w:w="818"/>
        <w:gridCol w:w="1206"/>
        <w:gridCol w:w="276"/>
        <w:gridCol w:w="284"/>
        <w:gridCol w:w="412"/>
        <w:gridCol w:w="140"/>
        <w:gridCol w:w="673"/>
        <w:gridCol w:w="681"/>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6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妇儿工委</w:t>
            </w:r>
          </w:p>
        </w:tc>
      </w:tr>
      <w:tr>
        <w:tblPrEx>
          <w:tblCellMar>
            <w:top w:w="0" w:type="dxa"/>
            <w:left w:w="108" w:type="dxa"/>
            <w:bottom w:w="0" w:type="dxa"/>
            <w:right w:w="108" w:type="dxa"/>
          </w:tblCellMar>
        </w:tblPrEx>
        <w:trPr>
          <w:trHeight w:val="300" w:hRule="exact"/>
          <w:jc w:val="center"/>
        </w:trPr>
        <w:tc>
          <w:tcPr>
            <w:tcW w:w="15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38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19.56</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97.8%</w:t>
            </w: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19.56</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97.8%</w:t>
            </w: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483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6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2492" w:hRule="exact"/>
          <w:jc w:val="center"/>
        </w:trPr>
        <w:tc>
          <w:tcPr>
            <w:tcW w:w="5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83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提升妇女儿童生存发展水平，进行两纲攻坚，抓住春节、六一、元旦等重要节点，慰问、帮扶困难儿童不少于200名。</w:t>
            </w:r>
          </w:p>
        </w:tc>
        <w:tc>
          <w:tcPr>
            <w:tcW w:w="367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kern w:val="0"/>
                <w:sz w:val="18"/>
                <w:szCs w:val="18"/>
              </w:rPr>
              <w:t>积极协调市妇儿工委成员单位积极完成两纲目标任务，并于2021年4月21日—22日接受了《四川妇女发展纲要（2011-2020年）》《四川儿童发展纲要（2011-2020年）》（以下简称“两纲”）终期评估第五检查组对我市“两纲”工作开展情况的评估检查；开展关爱外出务工妇女“回家行动”、贫困妇女“两癌”救助、春蕾计划结对助学等扶贫项目，整合各类资金400万余元，慰问留守妇女、困难儿童、女农民工等2200余人。</w:t>
            </w:r>
          </w:p>
        </w:tc>
      </w:tr>
      <w:tr>
        <w:tblPrEx>
          <w:tblCellMar>
            <w:top w:w="0" w:type="dxa"/>
            <w:left w:w="108" w:type="dxa"/>
            <w:bottom w:w="0" w:type="dxa"/>
            <w:right w:w="108" w:type="dxa"/>
          </w:tblCellMar>
        </w:tblPrEx>
        <w:trPr>
          <w:trHeight w:val="452" w:hRule="exact"/>
          <w:jc w:val="center"/>
        </w:trPr>
        <w:tc>
          <w:tcPr>
            <w:tcW w:w="571"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4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1860"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06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重要节点累积慰问困难儿童。</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≥50名</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利用春节、六一节等重要节日，慰问困难儿童100名，赠送学习用品和生活物资。</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675"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打造示范儿童之家。</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6个</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市妇联、市民政局共同出资20万元，打造了优秀儿童之家50个。</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468"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春蕾计划结对帮扶困难学生。</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≥100名</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2021年，为214名困难女童发放助学金17.39万元。</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570"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全市村、社区儿童之家覆盖率。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90%以上</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截止2021年底，全市建成儿童之家973个，建成比例超过90%。</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6622"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两纲攻坚指标。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完成</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市妇儿工委办协调市妇儿工委成员单位积极完成两纲目标任务，并于2021年4月21日—22日接受了《四川妇女发展纲要（2011-2020年）》《四川儿童发展纲要（2011-2020年）》（以下简称“两纲”）终期评估第五检查组对我市“两纲”工作开展情况的评估检查，检查组给予我市妇儿工作高度评价。</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888"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两纲年度指标检测统计。</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有效开展</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有效开展</w:t>
            </w:r>
            <w:r>
              <w:rPr>
                <w:rFonts w:hint="eastAsia" w:eastAsia="宋体" w:cs="宋体"/>
                <w:color w:val="000000"/>
                <w:kern w:val="0"/>
                <w:sz w:val="18"/>
                <w:szCs w:val="18"/>
              </w:rPr>
              <w:t>两纲年度指标监测统计，及时将数据指标报到了省妇儿工委办和省统计局。</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087"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春蕾计划资助对象和爱心人士满意率。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≥95%</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助学款及时、足额发放到了困难学习手中，</w:t>
            </w:r>
            <w:r>
              <w:rPr>
                <w:rFonts w:hint="eastAsia" w:eastAsia="宋体" w:cs="宋体"/>
                <w:color w:val="000000"/>
                <w:kern w:val="0"/>
                <w:sz w:val="18"/>
                <w:szCs w:val="18"/>
              </w:rPr>
              <w:t>春蕾计划资助对象和爱心人士满意率为100</w:t>
            </w:r>
            <w:r>
              <w:rPr>
                <w:rFonts w:hint="eastAsia" w:eastAsia="宋体" w:cs="宋体"/>
                <w:kern w:val="0"/>
                <w:sz w:val="18"/>
                <w:szCs w:val="18"/>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61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99.8</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1004"/>
        <w:gridCol w:w="130"/>
        <w:gridCol w:w="458"/>
        <w:gridCol w:w="251"/>
        <w:gridCol w:w="337"/>
        <w:gridCol w:w="514"/>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巾帼建功再提升行动</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10.84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10.84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207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eastAsia="宋体" w:cs="宋体"/>
                <w:kern w:val="0"/>
                <w:sz w:val="18"/>
                <w:szCs w:val="18"/>
              </w:rPr>
              <w:t>围绕“大众创业、万众创新”主题，重点围绕“一带一路”“成渝经济双城经济圈”，通过选树典型，凝聚巾帼力量，开展市级巾帼文明示范岗评比表扬活动；围绕中心，服务大局，在贴近行业需求，贴近妇女实际，凝聚妇女力量，培育妇女典型等方面取得了显著成效,搭建女性创新创业就业平台，为“再造产业自贡 重铸盐都辉煌”贡献力巾帼量。</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kern w:val="0"/>
                <w:sz w:val="18"/>
                <w:szCs w:val="18"/>
              </w:rPr>
              <w:t>通过选树典型，凝聚巾帼力量，开展市级巾帼文明示范岗评比表扬活动，巾帼文明岗培训班1期，评选巾帼文明岗50个；围绕中心，服务大局，在贴近行业需求，贴近妇女实际，凝聚妇女力量，培育妇女典型等方面取得了显著成效,搭建女性创新创业就业平台，开展女性农民工返乡创业就业培训等培训班，培训妇女230人。</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举办巾帼文明岗培训班</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1期</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培训各类人才</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100人次</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230人</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评选市级巾帼文明岗</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20个</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50个</w:t>
            </w:r>
            <w:r>
              <w:rPr>
                <w:rFonts w:eastAsia="宋体" w:cs="宋体"/>
                <w:kern w:val="0"/>
                <w:sz w:val="15"/>
                <w:szCs w:val="15"/>
              </w:rPr>
              <w:t>（得到广大妇女的认可，达到了创一个岗、树一面旗、服务一方人的效果）</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4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5"/>
                <w:szCs w:val="15"/>
              </w:rPr>
              <w:t>举办成渝女性人才交流会</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1期</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1期</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44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围绕中心，服务大局，凝聚妇女力量，培育妇女典型工作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有效开展</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cs="仿宋_GB2312"/>
                <w:kern w:val="0"/>
                <w:sz w:val="15"/>
                <w:szCs w:val="15"/>
              </w:rPr>
              <w:t>选</w:t>
            </w:r>
            <w:r>
              <w:rPr>
                <w:rFonts w:cs="仿宋_GB2312"/>
                <w:kern w:val="0"/>
                <w:sz w:val="15"/>
                <w:szCs w:val="15"/>
              </w:rPr>
              <w:t>树各类先进集体、个人100多个，起到了示范引领的作用</w:t>
            </w:r>
            <w:r>
              <w:rPr>
                <w:rFonts w:hint="eastAsia" w:cs="仿宋_GB2312"/>
                <w:kern w:val="0"/>
                <w:sz w:val="15"/>
                <w:szCs w:val="15"/>
              </w:rPr>
              <w:br w:type="textWrapping"/>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搭建女性创新创业结业平台工作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长期</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长期</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48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“巾帼学堂.紫薇绽放”项目群众满意率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≥95%</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68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99.8</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ind w:firstLine="360" w:firstLineChars="200"/>
        <w:rPr>
          <w:rFonts w:cs="仿宋_GB2312"/>
          <w:color w:val="000000"/>
          <w:kern w:val="0"/>
          <w:lang w:bidi="ar"/>
        </w:rPr>
        <w:sectPr>
          <w:pgSz w:w="11905" w:h="16838"/>
          <w:pgMar w:top="2098" w:right="1474" w:bottom="1984" w:left="1587" w:header="850" w:footer="992" w:gutter="0"/>
          <w:cols w:space="720" w:num="1"/>
          <w:docGrid w:type="lines" w:linePitch="439" w:charSpace="0"/>
        </w:sect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autofit"/>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乡村振兴再提升行动</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14.9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14.9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159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eastAsia="宋体" w:cs="宋体"/>
                <w:kern w:val="0"/>
                <w:sz w:val="18"/>
                <w:szCs w:val="18"/>
              </w:rPr>
              <w:t>发挥好妇联组织的优势和力量，加大推动农村产业发展、乡风文明建设 、农村弱势群体关爱等工作；加强农村妇女素质提升；积极争取各级政策、项目、资金，实施“回家行动”，落实“两癌”救助、“情暖妇幼”等项目政策，为实现乡村振兴贡献力量。</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color w:val="000000"/>
                <w:kern w:val="0"/>
                <w:sz w:val="18"/>
                <w:szCs w:val="18"/>
              </w:rPr>
              <w:t>举办乡村振兴巾帼培训班及现场交流会1期，在定点帮扶村持续开展结对工作；</w:t>
            </w:r>
            <w:r>
              <w:rPr>
                <w:rFonts w:hint="eastAsia" w:eastAsia="宋体" w:cs="宋体"/>
                <w:kern w:val="0"/>
                <w:sz w:val="18"/>
                <w:szCs w:val="18"/>
              </w:rPr>
              <w:t>通过春节、六一等特殊节点慰问，开展春蕾计划结对助学活动、“两癌”救助活动等，慰问困难妇幼2200余名。</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221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发挥妇联组织优势，做好定点帮扶村扶贫工作及开展春节慰问。</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200人次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5"/>
                <w:szCs w:val="15"/>
              </w:rPr>
              <w:t>400</w:t>
            </w:r>
            <w:r>
              <w:rPr>
                <w:rFonts w:eastAsia="宋体" w:cs="宋体"/>
                <w:kern w:val="0"/>
                <w:sz w:val="15"/>
                <w:szCs w:val="15"/>
              </w:rPr>
              <w:t>（体现了党和政府对妇女儿童的关心和妇联对困难妇女的关爱。）</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6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举办乡村振兴巾帼培训班及现场交流会</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4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培训返乡女农民工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5"/>
                <w:szCs w:val="15"/>
              </w:rPr>
              <w:t>100人次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300人次</w:t>
            </w:r>
            <w:r>
              <w:rPr>
                <w:rFonts w:eastAsia="宋体" w:cs="宋体"/>
                <w:kern w:val="0"/>
                <w:sz w:val="18"/>
                <w:szCs w:val="18"/>
              </w:rPr>
              <w:t>（</w:t>
            </w:r>
            <w:r>
              <w:rPr>
                <w:rFonts w:eastAsia="宋体" w:cs="宋体"/>
                <w:kern w:val="0"/>
                <w:sz w:val="15"/>
                <w:szCs w:val="15"/>
              </w:rPr>
              <w:t>帮助更多的妇女提升了技能技术，增加了创业就业的能力）</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22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关爱慰问困难妇幼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200名</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5"/>
                <w:szCs w:val="15"/>
              </w:rPr>
              <w:t>通过春节、六一等特殊节点慰问，开展春蕾计划结对助学活动、“两癌”救助活动等，慰问困难妇幼2200余名。</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3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推动农村产业发展</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5"/>
                <w:szCs w:val="15"/>
              </w:rPr>
              <w:t>选树了巾帼建功标兵、乡村女能人等先进典型，让</w:t>
            </w:r>
            <w:r>
              <w:rPr>
                <w:rFonts w:eastAsia="宋体" w:cs="宋体"/>
                <w:kern w:val="0"/>
                <w:sz w:val="15"/>
                <w:szCs w:val="15"/>
              </w:rPr>
              <w:t>更多的妇女</w:t>
            </w:r>
            <w:r>
              <w:rPr>
                <w:rFonts w:hint="eastAsia" w:eastAsia="宋体" w:cs="宋体"/>
                <w:kern w:val="0"/>
                <w:sz w:val="15"/>
                <w:szCs w:val="15"/>
              </w:rPr>
              <w:t>学习先进</w:t>
            </w:r>
            <w:r>
              <w:rPr>
                <w:rFonts w:eastAsia="宋体" w:cs="宋体"/>
                <w:kern w:val="0"/>
                <w:sz w:val="15"/>
                <w:szCs w:val="15"/>
              </w:rPr>
              <w:t>，</w:t>
            </w:r>
            <w:r>
              <w:rPr>
                <w:rFonts w:hint="eastAsia" w:eastAsia="宋体" w:cs="宋体"/>
                <w:kern w:val="0"/>
                <w:sz w:val="15"/>
                <w:szCs w:val="15"/>
              </w:rPr>
              <w:t>调整农村产业结构，</w:t>
            </w:r>
            <w:r>
              <w:rPr>
                <w:rFonts w:eastAsia="宋体" w:cs="宋体"/>
                <w:kern w:val="0"/>
                <w:sz w:val="15"/>
                <w:szCs w:val="15"/>
              </w:rPr>
              <w:t>增加了创业就业的能力</w:t>
            </w:r>
            <w:r>
              <w:rPr>
                <w:rFonts w:hint="eastAsia" w:eastAsia="宋体" w:cs="宋体"/>
                <w:kern w:val="0"/>
                <w:sz w:val="15"/>
                <w:szCs w:val="15"/>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生态效益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48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提升农村妇女素质</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5"/>
                <w:szCs w:val="15"/>
              </w:rPr>
              <w:t>采取措施举办各类技能培训班，帮助更多的妇女提升了技能技术，增加了创业就业的能</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结对帮扶村村民满意率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p>
      <w:pPr>
        <w:pStyle w:val="7"/>
        <w:spacing w:before="131"/>
        <w:rPr>
          <w:rFonts w:ascii="Times New Roman"/>
        </w:rPr>
      </w:pPr>
    </w:p>
    <w:p/>
    <w:p/>
    <w:p>
      <w:pPr>
        <w:jc w:val="left"/>
      </w:pPr>
    </w:p>
    <w:tbl>
      <w:tblPr>
        <w:tblStyle w:val="12"/>
        <w:tblW w:w="9080" w:type="dxa"/>
        <w:jc w:val="center"/>
        <w:tblLayout w:type="autofit"/>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幸福家庭再提升行动  </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15.88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15.88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131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eastAsia="宋体" w:cs="宋体"/>
                <w:kern w:val="0"/>
                <w:sz w:val="18"/>
                <w:szCs w:val="18"/>
              </w:rPr>
              <w:t>助力文明城市创建，共筑中国梦。开展“传家训家风、创最美家庭”文明家庭创建活动和“亲子阅读”等活动。</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kern w:val="0"/>
                <w:sz w:val="18"/>
                <w:szCs w:val="18"/>
              </w:rPr>
              <w:t>开展2021年寻找“最美家庭”创建活动，举办“幸福使者•母亲课堂”家庭教育讲座300场，选树全国“最美家庭”2户、四川省“最美家庭”4户、自贡市“最美家庭”30户。</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亲子阅读</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≥20场</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50场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eastAsia="宋体" w:cs="宋体"/>
                <w:color w:val="000000"/>
                <w:kern w:val="0"/>
                <w:sz w:val="18"/>
                <w:szCs w:val="18"/>
              </w:rPr>
              <w:t>亲子阅读参与人数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color w:val="000000"/>
                <w:kern w:val="0"/>
                <w:sz w:val="18"/>
                <w:szCs w:val="18"/>
              </w:rPr>
              <w:t>≥500人</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1500人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41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eastAsia="宋体" w:cs="宋体"/>
                <w:color w:val="000000"/>
                <w:kern w:val="0"/>
                <w:sz w:val="18"/>
                <w:szCs w:val="18"/>
              </w:rPr>
              <w:t>评选全市“最美家庭”。</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color w:val="000000"/>
                <w:kern w:val="0"/>
                <w:sz w:val="18"/>
                <w:szCs w:val="18"/>
              </w:rPr>
              <w:t>20户</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30户</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全市社区家长学校覆盖率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开展“回家行动”关爱返乡农民工和留守儿童，让更多的家长陪伴孩子的童年。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有效发挥，作用明显</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生态效益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7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通过线上线下各种方式开展家庭教育讲座</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100场以上</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300场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参加社区家长学校培训的居民满意度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≥80%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ind w:firstLine="360" w:firstLineChars="200"/>
        <w:rPr>
          <w:rFonts w:eastAsia="宋体" w:cs="仿宋_GB2312"/>
          <w:color w:val="000000"/>
          <w:kern w:val="0"/>
          <w:lang w:bidi="ar"/>
        </w:rPr>
        <w:sectPr>
          <w:pgSz w:w="11905" w:h="16838"/>
          <w:pgMar w:top="2098" w:right="1474" w:bottom="1984" w:left="1587" w:header="850" w:footer="992" w:gutter="0"/>
          <w:cols w:space="720" w:num="1"/>
          <w:docGrid w:type="lines" w:linePitch="439" w:charSpace="0"/>
        </w:sect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p>
      <w:pPr>
        <w:pStyle w:val="7"/>
        <w:spacing w:before="93"/>
        <w:rPr>
          <w:rFonts w:ascii="Times New Roman"/>
        </w:rPr>
      </w:pPr>
    </w:p>
    <w:p>
      <w:pPr>
        <w:spacing w:line="560" w:lineRule="exact"/>
        <w:jc w:val="center"/>
        <w:outlineLvl w:val="0"/>
        <w:rPr>
          <w:rStyle w:val="16"/>
          <w:rFonts w:eastAsia="黑体"/>
          <w:b w:val="0"/>
        </w:rPr>
      </w:pPr>
      <w:r>
        <w:rPr>
          <w:rFonts w:hint="eastAsia" w:eastAsia="黑体"/>
          <w:color w:val="000000"/>
          <w:sz w:val="44"/>
          <w:szCs w:val="44"/>
        </w:rPr>
        <w:t>第</w:t>
      </w:r>
      <w:r>
        <w:rPr>
          <w:rStyle w:val="16"/>
          <w:rFonts w:hint="eastAsia" w:eastAsia="黑体"/>
          <w:b w:val="0"/>
        </w:rPr>
        <w:t>五部分</w:t>
      </w:r>
      <w:r>
        <w:rPr>
          <w:rStyle w:val="16"/>
          <w:rFonts w:eastAsia="黑体"/>
          <w:b w:val="0"/>
        </w:rPr>
        <w:t xml:space="preserve"> </w:t>
      </w:r>
      <w:r>
        <w:rPr>
          <w:rStyle w:val="16"/>
          <w:rFonts w:hint="eastAsia" w:eastAsia="黑体"/>
          <w:b w:val="0"/>
        </w:rPr>
        <w:t>附表</w:t>
      </w:r>
      <w:bookmarkEnd w:id="59"/>
      <w:bookmarkEnd w:id="65"/>
      <w:bookmarkEnd w:id="66"/>
    </w:p>
    <w:p>
      <w:pPr>
        <w:spacing w:line="560" w:lineRule="exact"/>
        <w:jc w:val="center"/>
        <w:outlineLvl w:val="0"/>
        <w:rPr>
          <w:rFonts w:eastAsia="仿宋"/>
          <w:b/>
          <w:color w:val="000000"/>
          <w:sz w:val="44"/>
          <w:szCs w:val="44"/>
        </w:rPr>
      </w:pPr>
    </w:p>
    <w:p>
      <w:pPr>
        <w:pStyle w:val="6"/>
        <w:spacing w:before="0" w:after="0" w:line="560" w:lineRule="exact"/>
        <w:rPr>
          <w:rFonts w:ascii="Times New Roman" w:hAnsi="Times New Roman" w:eastAsia="仿宋"/>
        </w:rPr>
      </w:pPr>
      <w:bookmarkStart w:id="67" w:name="_Toc1390867476"/>
      <w:r>
        <w:rPr>
          <w:rFonts w:hint="eastAsia" w:ascii="Times New Roman" w:hAnsi="Times New Roman" w:eastAsia="仿宋"/>
          <w:b w:val="0"/>
        </w:rPr>
        <w:t>一、收</w:t>
      </w:r>
      <w:r>
        <w:rPr>
          <w:rStyle w:val="20"/>
          <w:rFonts w:hint="eastAsia" w:ascii="Times New Roman" w:hAnsi="Times New Roman" w:eastAsia="仿宋"/>
          <w:b w:val="0"/>
          <w:bCs w:val="0"/>
        </w:rPr>
        <w:t>入支出决算总表</w:t>
      </w:r>
      <w:bookmarkEnd w:id="67"/>
    </w:p>
    <w:p>
      <w:pPr>
        <w:pStyle w:val="6"/>
        <w:spacing w:before="0" w:after="0" w:line="560" w:lineRule="exact"/>
        <w:rPr>
          <w:rFonts w:ascii="Times New Roman" w:hAnsi="Times New Roman" w:eastAsia="仿宋"/>
        </w:rPr>
      </w:pPr>
      <w:bookmarkStart w:id="68" w:name="_Toc15396620"/>
      <w:bookmarkStart w:id="69" w:name="_Toc1652251637"/>
      <w:r>
        <w:rPr>
          <w:rFonts w:hint="eastAsia" w:ascii="Times New Roman" w:hAnsi="Times New Roman" w:eastAsia="仿宋"/>
          <w:b w:val="0"/>
        </w:rPr>
        <w:t>二、收</w:t>
      </w:r>
      <w:r>
        <w:rPr>
          <w:rStyle w:val="20"/>
          <w:rFonts w:hint="eastAsia" w:ascii="Times New Roman" w:hAnsi="Times New Roman" w:eastAsia="仿宋"/>
          <w:b w:val="0"/>
          <w:bCs w:val="0"/>
        </w:rPr>
        <w:t>入决算表</w:t>
      </w:r>
      <w:bookmarkEnd w:id="68"/>
      <w:bookmarkEnd w:id="69"/>
    </w:p>
    <w:p>
      <w:pPr>
        <w:pStyle w:val="6"/>
        <w:spacing w:before="0" w:after="0" w:line="560" w:lineRule="exact"/>
        <w:rPr>
          <w:rFonts w:ascii="Times New Roman" w:hAnsi="Times New Roman" w:eastAsia="仿宋"/>
        </w:rPr>
      </w:pPr>
      <w:bookmarkStart w:id="70" w:name="_Toc1702751313"/>
      <w:bookmarkStart w:id="71" w:name="_Toc15396621"/>
      <w:r>
        <w:rPr>
          <w:rStyle w:val="20"/>
          <w:rFonts w:hint="eastAsia" w:ascii="Times New Roman" w:hAnsi="Times New Roman" w:eastAsia="仿宋"/>
          <w:b w:val="0"/>
          <w:bCs w:val="0"/>
        </w:rPr>
        <w:t>三、</w:t>
      </w:r>
      <w:r>
        <w:rPr>
          <w:rFonts w:hint="eastAsia" w:ascii="Times New Roman" w:hAnsi="Times New Roman" w:eastAsia="仿宋"/>
          <w:b w:val="0"/>
        </w:rPr>
        <w:t>支</w:t>
      </w:r>
      <w:r>
        <w:rPr>
          <w:rStyle w:val="20"/>
          <w:rFonts w:hint="eastAsia" w:ascii="Times New Roman" w:hAnsi="Times New Roman" w:eastAsia="仿宋"/>
          <w:b w:val="0"/>
          <w:bCs w:val="0"/>
        </w:rPr>
        <w:t>出决算表</w:t>
      </w:r>
      <w:bookmarkEnd w:id="70"/>
      <w:bookmarkEnd w:id="71"/>
    </w:p>
    <w:p>
      <w:pPr>
        <w:pStyle w:val="6"/>
        <w:spacing w:before="0" w:after="0" w:line="560" w:lineRule="exact"/>
        <w:rPr>
          <w:rFonts w:ascii="Times New Roman" w:hAnsi="Times New Roman" w:eastAsia="仿宋"/>
          <w:b w:val="0"/>
        </w:rPr>
      </w:pPr>
      <w:bookmarkStart w:id="72" w:name="_Toc70839370"/>
      <w:bookmarkStart w:id="73" w:name="_Toc15396622"/>
      <w:r>
        <w:rPr>
          <w:rStyle w:val="20"/>
          <w:rFonts w:hint="eastAsia" w:ascii="Times New Roman" w:hAnsi="Times New Roman" w:eastAsia="仿宋"/>
          <w:b w:val="0"/>
          <w:bCs w:val="0"/>
        </w:rPr>
        <w:t>四、</w:t>
      </w:r>
      <w:r>
        <w:rPr>
          <w:rFonts w:hint="eastAsia" w:ascii="Times New Roman" w:hAnsi="Times New Roman" w:eastAsia="仿宋"/>
          <w:b w:val="0"/>
        </w:rPr>
        <w:t>财</w:t>
      </w:r>
      <w:r>
        <w:rPr>
          <w:rStyle w:val="20"/>
          <w:rFonts w:hint="eastAsia" w:ascii="Times New Roman" w:hAnsi="Times New Roman" w:eastAsia="仿宋"/>
          <w:b w:val="0"/>
          <w:bCs w:val="0"/>
        </w:rPr>
        <w:t>政拨款收入支出决算总表</w:t>
      </w:r>
      <w:bookmarkEnd w:id="72"/>
      <w:bookmarkEnd w:id="73"/>
    </w:p>
    <w:p>
      <w:pPr>
        <w:pStyle w:val="6"/>
        <w:spacing w:before="0" w:after="0" w:line="560" w:lineRule="exact"/>
        <w:rPr>
          <w:rStyle w:val="20"/>
          <w:rFonts w:ascii="Times New Roman" w:hAnsi="Times New Roman" w:eastAsia="仿宋"/>
          <w:b w:val="0"/>
          <w:bCs w:val="0"/>
        </w:rPr>
      </w:pPr>
      <w:bookmarkStart w:id="74" w:name="_Toc1081891879"/>
      <w:bookmarkStart w:id="75" w:name="_Toc15396623"/>
      <w:r>
        <w:rPr>
          <w:rStyle w:val="20"/>
          <w:rFonts w:hint="eastAsia" w:ascii="Times New Roman" w:hAnsi="Times New Roman" w:eastAsia="仿宋"/>
          <w:b w:val="0"/>
          <w:bCs w:val="0"/>
        </w:rPr>
        <w:t>五、</w:t>
      </w:r>
      <w:r>
        <w:rPr>
          <w:rFonts w:hint="eastAsia" w:ascii="Times New Roman" w:hAnsi="Times New Roman" w:eastAsia="仿宋"/>
          <w:b w:val="0"/>
        </w:rPr>
        <w:t>财</w:t>
      </w:r>
      <w:r>
        <w:rPr>
          <w:rStyle w:val="20"/>
          <w:rFonts w:hint="eastAsia" w:ascii="Times New Roman" w:hAnsi="Times New Roman" w:eastAsia="仿宋"/>
          <w:b w:val="0"/>
          <w:bCs w:val="0"/>
        </w:rPr>
        <w:t>政拨款支出决算明细表</w:t>
      </w:r>
      <w:bookmarkEnd w:id="74"/>
      <w:bookmarkEnd w:id="75"/>
      <w:bookmarkStart w:id="76" w:name="_Toc15396624"/>
    </w:p>
    <w:p>
      <w:pPr>
        <w:pStyle w:val="6"/>
        <w:spacing w:before="0" w:after="0" w:line="560" w:lineRule="exact"/>
        <w:rPr>
          <w:rFonts w:ascii="Times New Roman" w:hAnsi="Times New Roman" w:eastAsia="仿宋"/>
        </w:rPr>
      </w:pPr>
      <w:bookmarkStart w:id="77" w:name="_Toc1989199869"/>
      <w:r>
        <w:rPr>
          <w:rStyle w:val="20"/>
          <w:rFonts w:hint="eastAsia" w:ascii="Times New Roman" w:hAnsi="Times New Roman" w:eastAsia="仿宋"/>
          <w:b w:val="0"/>
          <w:bCs w:val="0"/>
        </w:rPr>
        <w:t>六、</w:t>
      </w:r>
      <w:r>
        <w:rPr>
          <w:rFonts w:hint="eastAsia" w:ascii="Times New Roman" w:hAnsi="Times New Roman" w:eastAsia="仿宋"/>
          <w:b w:val="0"/>
        </w:rPr>
        <w:t>一</w:t>
      </w:r>
      <w:r>
        <w:rPr>
          <w:rStyle w:val="20"/>
          <w:rFonts w:hint="eastAsia" w:ascii="Times New Roman" w:hAnsi="Times New Roman" w:eastAsia="仿宋"/>
          <w:b w:val="0"/>
          <w:bCs w:val="0"/>
        </w:rPr>
        <w:t>般公共预算财政拨款支出决算表</w:t>
      </w:r>
      <w:bookmarkEnd w:id="76"/>
      <w:bookmarkEnd w:id="77"/>
    </w:p>
    <w:p>
      <w:pPr>
        <w:pStyle w:val="6"/>
        <w:spacing w:before="0" w:after="0" w:line="560" w:lineRule="exact"/>
        <w:rPr>
          <w:rFonts w:ascii="Times New Roman" w:hAnsi="Times New Roman" w:eastAsia="仿宋"/>
        </w:rPr>
      </w:pPr>
      <w:bookmarkStart w:id="78" w:name="_Toc15396625"/>
      <w:bookmarkStart w:id="79" w:name="_Toc1045583567"/>
      <w:r>
        <w:rPr>
          <w:rStyle w:val="20"/>
          <w:rFonts w:hint="eastAsia" w:ascii="Times New Roman" w:hAnsi="Times New Roman" w:eastAsia="仿宋"/>
          <w:b w:val="0"/>
          <w:bCs w:val="0"/>
        </w:rPr>
        <w:t>七、</w:t>
      </w:r>
      <w:r>
        <w:rPr>
          <w:rFonts w:hint="eastAsia" w:ascii="Times New Roman" w:hAnsi="Times New Roman" w:eastAsia="仿宋"/>
          <w:b w:val="0"/>
        </w:rPr>
        <w:t>一</w:t>
      </w:r>
      <w:r>
        <w:rPr>
          <w:rStyle w:val="20"/>
          <w:rFonts w:hint="eastAsia" w:ascii="Times New Roman" w:hAnsi="Times New Roman" w:eastAsia="仿宋"/>
          <w:b w:val="0"/>
          <w:bCs w:val="0"/>
        </w:rPr>
        <w:t>般公共预算财政拨款支出决算明细表</w:t>
      </w:r>
      <w:bookmarkEnd w:id="78"/>
      <w:bookmarkEnd w:id="79"/>
    </w:p>
    <w:p>
      <w:pPr>
        <w:pStyle w:val="6"/>
        <w:spacing w:before="0" w:after="0" w:line="560" w:lineRule="exact"/>
        <w:rPr>
          <w:rFonts w:ascii="Times New Roman" w:hAnsi="Times New Roman" w:eastAsia="仿宋"/>
        </w:rPr>
      </w:pPr>
      <w:bookmarkStart w:id="80" w:name="_Toc587521124"/>
      <w:bookmarkStart w:id="81" w:name="_Toc15396626"/>
      <w:r>
        <w:rPr>
          <w:rStyle w:val="20"/>
          <w:rFonts w:hint="eastAsia" w:ascii="Times New Roman" w:hAnsi="Times New Roman" w:eastAsia="仿宋"/>
          <w:b w:val="0"/>
          <w:bCs w:val="0"/>
        </w:rPr>
        <w:t>八、</w:t>
      </w:r>
      <w:r>
        <w:rPr>
          <w:rFonts w:hint="eastAsia" w:ascii="Times New Roman" w:hAnsi="Times New Roman" w:eastAsia="仿宋"/>
          <w:b w:val="0"/>
        </w:rPr>
        <w:t>一</w:t>
      </w:r>
      <w:r>
        <w:rPr>
          <w:rStyle w:val="20"/>
          <w:rFonts w:hint="eastAsia" w:ascii="Times New Roman" w:hAnsi="Times New Roman" w:eastAsia="仿宋"/>
          <w:b w:val="0"/>
          <w:bCs w:val="0"/>
        </w:rPr>
        <w:t>般公共预算财政拨款基本支出决算表</w:t>
      </w:r>
      <w:bookmarkEnd w:id="80"/>
      <w:bookmarkEnd w:id="81"/>
    </w:p>
    <w:p>
      <w:pPr>
        <w:pStyle w:val="6"/>
        <w:spacing w:before="0" w:after="0" w:line="560" w:lineRule="exact"/>
        <w:rPr>
          <w:rFonts w:ascii="Times New Roman" w:hAnsi="Times New Roman" w:eastAsia="仿宋"/>
        </w:rPr>
      </w:pPr>
      <w:bookmarkStart w:id="82" w:name="_Toc1049968431"/>
      <w:bookmarkStart w:id="83" w:name="_Toc15396627"/>
      <w:r>
        <w:rPr>
          <w:rStyle w:val="20"/>
          <w:rFonts w:hint="eastAsia" w:ascii="Times New Roman" w:hAnsi="Times New Roman" w:eastAsia="仿宋"/>
          <w:b w:val="0"/>
          <w:bCs w:val="0"/>
        </w:rPr>
        <w:t>九、</w:t>
      </w:r>
      <w:r>
        <w:rPr>
          <w:rFonts w:hint="eastAsia" w:ascii="Times New Roman" w:hAnsi="Times New Roman" w:eastAsia="仿宋"/>
          <w:b w:val="0"/>
        </w:rPr>
        <w:t>一</w:t>
      </w:r>
      <w:r>
        <w:rPr>
          <w:rStyle w:val="20"/>
          <w:rFonts w:hint="eastAsia" w:ascii="Times New Roman" w:hAnsi="Times New Roman" w:eastAsia="仿宋"/>
          <w:b w:val="0"/>
          <w:bCs w:val="0"/>
        </w:rPr>
        <w:t>般公共预算财政拨款项目支出决算表</w:t>
      </w:r>
      <w:bookmarkEnd w:id="82"/>
      <w:bookmarkEnd w:id="83"/>
    </w:p>
    <w:p>
      <w:pPr>
        <w:pStyle w:val="6"/>
        <w:spacing w:before="0" w:after="0" w:line="560" w:lineRule="exact"/>
        <w:rPr>
          <w:rFonts w:ascii="Times New Roman" w:hAnsi="Times New Roman" w:eastAsia="仿宋"/>
        </w:rPr>
      </w:pPr>
      <w:bookmarkStart w:id="84" w:name="_Toc15396628"/>
      <w:bookmarkStart w:id="85" w:name="_Toc384490029"/>
      <w:r>
        <w:rPr>
          <w:rStyle w:val="20"/>
          <w:rFonts w:hint="eastAsia" w:ascii="Times New Roman" w:hAnsi="Times New Roman" w:eastAsia="仿宋"/>
          <w:b w:val="0"/>
          <w:bCs w:val="0"/>
        </w:rPr>
        <w:t>十、</w:t>
      </w:r>
      <w:r>
        <w:rPr>
          <w:rFonts w:hint="eastAsia" w:ascii="Times New Roman" w:hAnsi="Times New Roman" w:eastAsia="仿宋"/>
          <w:b w:val="0"/>
        </w:rPr>
        <w:t>一</w:t>
      </w:r>
      <w:r>
        <w:rPr>
          <w:rStyle w:val="20"/>
          <w:rFonts w:hint="eastAsia" w:ascii="Times New Roman" w:hAnsi="Times New Roman" w:eastAsia="仿宋"/>
          <w:b w:val="0"/>
          <w:bCs w:val="0"/>
        </w:rPr>
        <w:t>般公共预算财政拨款“三公”经费支出决算表</w:t>
      </w:r>
      <w:bookmarkEnd w:id="84"/>
      <w:bookmarkEnd w:id="85"/>
    </w:p>
    <w:p>
      <w:pPr>
        <w:pStyle w:val="6"/>
        <w:spacing w:before="0" w:after="0" w:line="560" w:lineRule="exact"/>
        <w:rPr>
          <w:rFonts w:ascii="Times New Roman" w:hAnsi="Times New Roman" w:eastAsia="仿宋"/>
        </w:rPr>
      </w:pPr>
      <w:bookmarkStart w:id="86" w:name="_Toc2103171247"/>
      <w:bookmarkStart w:id="87" w:name="_Toc15396629"/>
      <w:r>
        <w:rPr>
          <w:rStyle w:val="20"/>
          <w:rFonts w:hint="eastAsia" w:ascii="Times New Roman" w:hAnsi="Times New Roman" w:eastAsia="仿宋"/>
          <w:b w:val="0"/>
          <w:bCs w:val="0"/>
        </w:rPr>
        <w:t>十一、</w:t>
      </w:r>
      <w:r>
        <w:rPr>
          <w:rFonts w:hint="eastAsia" w:ascii="Times New Roman" w:hAnsi="Times New Roman" w:eastAsia="仿宋"/>
          <w:b w:val="0"/>
        </w:rPr>
        <w:t>政</w:t>
      </w:r>
      <w:r>
        <w:rPr>
          <w:rStyle w:val="20"/>
          <w:rFonts w:hint="eastAsia" w:ascii="Times New Roman" w:hAnsi="Times New Roman" w:eastAsia="仿宋"/>
          <w:b w:val="0"/>
          <w:bCs w:val="0"/>
        </w:rPr>
        <w:t>府性基金预算财政拨款收入支出决算表</w:t>
      </w:r>
      <w:bookmarkEnd w:id="86"/>
      <w:bookmarkEnd w:id="87"/>
    </w:p>
    <w:p>
      <w:pPr>
        <w:pStyle w:val="6"/>
        <w:spacing w:before="0" w:after="0" w:line="560" w:lineRule="exact"/>
        <w:rPr>
          <w:rFonts w:ascii="Times New Roman" w:hAnsi="Times New Roman" w:eastAsia="仿宋"/>
        </w:rPr>
      </w:pPr>
      <w:bookmarkStart w:id="88" w:name="_Toc1373897022"/>
      <w:bookmarkStart w:id="89" w:name="_Toc15396630"/>
      <w:r>
        <w:rPr>
          <w:rStyle w:val="20"/>
          <w:rFonts w:hint="eastAsia" w:ascii="Times New Roman" w:hAnsi="Times New Roman" w:eastAsia="仿宋"/>
          <w:b w:val="0"/>
          <w:bCs w:val="0"/>
        </w:rPr>
        <w:t>十二、</w:t>
      </w:r>
      <w:r>
        <w:rPr>
          <w:rFonts w:hint="eastAsia" w:ascii="Times New Roman" w:hAnsi="Times New Roman" w:eastAsia="仿宋"/>
          <w:b w:val="0"/>
        </w:rPr>
        <w:t>政</w:t>
      </w:r>
      <w:r>
        <w:rPr>
          <w:rStyle w:val="20"/>
          <w:rFonts w:hint="eastAsia" w:ascii="Times New Roman" w:hAnsi="Times New Roman" w:eastAsia="仿宋"/>
          <w:b w:val="0"/>
          <w:bCs w:val="0"/>
        </w:rPr>
        <w:t>府性基金预算财政拨款“三公”经费支出决算表</w:t>
      </w:r>
      <w:bookmarkEnd w:id="88"/>
      <w:bookmarkEnd w:id="89"/>
    </w:p>
    <w:p>
      <w:pPr>
        <w:pStyle w:val="6"/>
        <w:spacing w:before="0" w:after="0" w:line="560" w:lineRule="exact"/>
        <w:rPr>
          <w:rStyle w:val="20"/>
          <w:rFonts w:ascii="Times New Roman" w:hAnsi="Times New Roman" w:eastAsia="仿宋"/>
          <w:b w:val="0"/>
          <w:bCs w:val="0"/>
        </w:rPr>
      </w:pPr>
      <w:bookmarkStart w:id="90" w:name="_Toc899647348"/>
      <w:bookmarkStart w:id="91" w:name="_Toc15396631"/>
      <w:r>
        <w:rPr>
          <w:rStyle w:val="20"/>
          <w:rFonts w:hint="eastAsia" w:ascii="Times New Roman" w:hAnsi="Times New Roman" w:eastAsia="仿宋"/>
          <w:b w:val="0"/>
          <w:bCs w:val="0"/>
        </w:rPr>
        <w:t>十三、</w:t>
      </w:r>
      <w:r>
        <w:rPr>
          <w:rFonts w:hint="eastAsia" w:ascii="Times New Roman" w:hAnsi="Times New Roman" w:eastAsia="仿宋"/>
          <w:b w:val="0"/>
        </w:rPr>
        <w:t>国</w:t>
      </w:r>
      <w:r>
        <w:rPr>
          <w:rStyle w:val="20"/>
          <w:rFonts w:hint="eastAsia" w:ascii="Times New Roman" w:hAnsi="Times New Roman" w:eastAsia="仿宋"/>
          <w:b w:val="0"/>
          <w:bCs w:val="0"/>
        </w:rPr>
        <w:t>有资本经营预算财政拨款收入支出决算表</w:t>
      </w:r>
      <w:bookmarkEnd w:id="90"/>
      <w:bookmarkEnd w:id="91"/>
    </w:p>
    <w:p>
      <w:pPr>
        <w:spacing w:line="560" w:lineRule="exact"/>
        <w:rPr>
          <w:rFonts w:eastAsia="仿宋"/>
          <w:color w:val="000000"/>
        </w:rPr>
      </w:pPr>
      <w:bookmarkStart w:id="92" w:name="_Toc518539215"/>
      <w:r>
        <w:rPr>
          <w:rStyle w:val="20"/>
          <w:rFonts w:hint="eastAsia" w:ascii="Times New Roman" w:hAnsi="Times New Roman" w:eastAsia="仿宋"/>
          <w:b w:val="0"/>
          <w:bCs w:val="0"/>
        </w:rPr>
        <w:t>十四、国有资本经营预算财政拨款支出决算表</w:t>
      </w:r>
      <w:bookmarkEnd w:id="9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ascii="Times New Roman" w:hAnsi="Times New Roman"/>
                              <w:b/>
                              <w:bCs/>
                              <w:sz w:val="24"/>
                              <w:szCs w:val="24"/>
                            </w:rPr>
                            <w:fldChar w:fldCharType="begin"/>
                          </w:r>
                          <w:r>
                            <w:rPr>
                              <w:rFonts w:ascii="Times New Roman" w:hAnsi="Times New Roman"/>
                              <w:b/>
                              <w:bCs/>
                              <w:sz w:val="24"/>
                              <w:szCs w:val="24"/>
                            </w:rPr>
                            <w:instrText xml:space="preserve"> PAGE  \* MERGEFORMAT </w:instrText>
                          </w:r>
                          <w:r>
                            <w:rPr>
                              <w:rFonts w:ascii="Times New Roman" w:hAnsi="Times New Roman"/>
                              <w:b/>
                              <w:bCs/>
                              <w:sz w:val="24"/>
                              <w:szCs w:val="24"/>
                            </w:rPr>
                            <w:fldChar w:fldCharType="separate"/>
                          </w:r>
                          <w:r>
                            <w:rPr>
                              <w:rFonts w:ascii="Times New Roman" w:hAnsi="Times New Roman"/>
                              <w:b/>
                              <w:bCs/>
                              <w:sz w:val="24"/>
                              <w:szCs w:val="24"/>
                            </w:rPr>
                            <w:t>72</w:t>
                          </w:r>
                          <w:r>
                            <w:rPr>
                              <w:rFonts w:ascii="Times New Roman" w:hAnsi="Times New Roman"/>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ascii="Times New Roman" w:hAnsi="Times New Roman"/>
                        <w:b/>
                        <w:bCs/>
                        <w:sz w:val="24"/>
                        <w:szCs w:val="24"/>
                      </w:rPr>
                      <w:fldChar w:fldCharType="begin"/>
                    </w:r>
                    <w:r>
                      <w:rPr>
                        <w:rFonts w:ascii="Times New Roman" w:hAnsi="Times New Roman"/>
                        <w:b/>
                        <w:bCs/>
                        <w:sz w:val="24"/>
                        <w:szCs w:val="24"/>
                      </w:rPr>
                      <w:instrText xml:space="preserve"> PAGE  \* MERGEFORMAT </w:instrText>
                    </w:r>
                    <w:r>
                      <w:rPr>
                        <w:rFonts w:ascii="Times New Roman" w:hAnsi="Times New Roman"/>
                        <w:b/>
                        <w:bCs/>
                        <w:sz w:val="24"/>
                        <w:szCs w:val="24"/>
                      </w:rPr>
                      <w:fldChar w:fldCharType="separate"/>
                    </w:r>
                    <w:r>
                      <w:rPr>
                        <w:rFonts w:ascii="Times New Roman" w:hAnsi="Times New Roman"/>
                        <w:b/>
                        <w:bCs/>
                        <w:sz w:val="24"/>
                        <w:szCs w:val="24"/>
                      </w:rPr>
                      <w:t>72</w:t>
                    </w:r>
                    <w:r>
                      <w:rPr>
                        <w:rFonts w:ascii="Times New Roman" w:hAnsi="Times New Roman"/>
                        <w:b/>
                        <w:bCs/>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40F26"/>
    <w:multiLevelType w:val="singleLevel"/>
    <w:tmpl w:val="85540F26"/>
    <w:lvl w:ilvl="0" w:tentative="0">
      <w:start w:val="2"/>
      <w:numFmt w:val="chineseCounting"/>
      <w:suff w:val="nothing"/>
      <w:lvlText w:val="（%1）"/>
      <w:lvlJc w:val="left"/>
      <w:rPr>
        <w:rFonts w:hint="eastAsia" w:ascii="楷体_GB2312" w:hAnsi="楷体_GB2312" w:eastAsia="楷体_GB2312" w:cs="楷体_GB2312"/>
        <w:b/>
        <w:bCs/>
        <w:sz w:val="32"/>
        <w:szCs w:val="32"/>
      </w:rPr>
    </w:lvl>
  </w:abstractNum>
  <w:abstractNum w:abstractNumId="1">
    <w:nsid w:val="A691AB4D"/>
    <w:multiLevelType w:val="singleLevel"/>
    <w:tmpl w:val="A691AB4D"/>
    <w:lvl w:ilvl="0" w:tentative="0">
      <w:start w:val="2"/>
      <w:numFmt w:val="chineseCounting"/>
      <w:suff w:val="nothing"/>
      <w:lvlText w:val="（%1）"/>
      <w:lvlJc w:val="left"/>
      <w:rPr>
        <w:rFonts w:hint="eastAsia" w:ascii="楷体_GB2312" w:hAnsi="楷体_GB2312" w:eastAsia="楷体_GB2312" w:cs="楷体_GB2312"/>
        <w:b/>
        <w:bCs/>
        <w:sz w:val="32"/>
        <w:szCs w:val="32"/>
      </w:rPr>
    </w:lvl>
  </w:abstractNum>
  <w:abstractNum w:abstractNumId="2">
    <w:nsid w:val="ABF2CF82"/>
    <w:multiLevelType w:val="singleLevel"/>
    <w:tmpl w:val="ABF2CF82"/>
    <w:lvl w:ilvl="0" w:tentative="0">
      <w:start w:val="4"/>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FB445AA9"/>
    <w:multiLevelType w:val="singleLevel"/>
    <w:tmpl w:val="FB445AA9"/>
    <w:lvl w:ilvl="0" w:tentative="0">
      <w:start w:val="2"/>
      <w:numFmt w:val="chineseCounting"/>
      <w:suff w:val="nothing"/>
      <w:lvlText w:val="（%1）"/>
      <w:lvlJc w:val="left"/>
      <w:rPr>
        <w:rFonts w:hint="eastAsia"/>
      </w:rPr>
    </w:lvl>
  </w:abstractNum>
  <w:abstractNum w:abstractNumId="6">
    <w:nsid w:val="7036B0E6"/>
    <w:multiLevelType w:val="singleLevel"/>
    <w:tmpl w:val="7036B0E6"/>
    <w:lvl w:ilvl="0" w:tentative="0">
      <w:start w:val="1"/>
      <w:numFmt w:val="chineseCounting"/>
      <w:suff w:val="nothing"/>
      <w:lvlText w:val="（%1）"/>
      <w:lvlJc w:val="left"/>
      <w:rPr>
        <w:rFonts w:hint="eastAsia" w:ascii="楷体_GB2312" w:hAnsi="楷体_GB2312" w:eastAsia="楷体_GB2312" w:cs="楷体_GB2312"/>
        <w:b/>
        <w:bCs/>
        <w:sz w:val="32"/>
        <w:szCs w:val="32"/>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078C"/>
    <w:rsid w:val="000161ED"/>
    <w:rsid w:val="00051676"/>
    <w:rsid w:val="00AE7C48"/>
    <w:rsid w:val="00F203D0"/>
    <w:rsid w:val="02F80747"/>
    <w:rsid w:val="058C4826"/>
    <w:rsid w:val="06D96529"/>
    <w:rsid w:val="0C5A444D"/>
    <w:rsid w:val="0E263D10"/>
    <w:rsid w:val="105E1358"/>
    <w:rsid w:val="12531D1B"/>
    <w:rsid w:val="15B45765"/>
    <w:rsid w:val="16911A44"/>
    <w:rsid w:val="19447F27"/>
    <w:rsid w:val="1B073F52"/>
    <w:rsid w:val="1EF7441C"/>
    <w:rsid w:val="202F1E94"/>
    <w:rsid w:val="287451E7"/>
    <w:rsid w:val="29246C8C"/>
    <w:rsid w:val="352E2F39"/>
    <w:rsid w:val="37EB78EC"/>
    <w:rsid w:val="386A7A00"/>
    <w:rsid w:val="3BB1603B"/>
    <w:rsid w:val="3E4169FF"/>
    <w:rsid w:val="3F323A7E"/>
    <w:rsid w:val="4049595F"/>
    <w:rsid w:val="408D4404"/>
    <w:rsid w:val="437730F2"/>
    <w:rsid w:val="4DB6058E"/>
    <w:rsid w:val="4EE15B02"/>
    <w:rsid w:val="50271C5D"/>
    <w:rsid w:val="53A70A96"/>
    <w:rsid w:val="55F73DB4"/>
    <w:rsid w:val="564D6682"/>
    <w:rsid w:val="580D122A"/>
    <w:rsid w:val="581C1F95"/>
    <w:rsid w:val="5D3E75DF"/>
    <w:rsid w:val="5FF76206"/>
    <w:rsid w:val="61C52EF5"/>
    <w:rsid w:val="62416073"/>
    <w:rsid w:val="6504078C"/>
    <w:rsid w:val="659C4247"/>
    <w:rsid w:val="65FFAF84"/>
    <w:rsid w:val="697D5FF4"/>
    <w:rsid w:val="6A0811F2"/>
    <w:rsid w:val="6A77253D"/>
    <w:rsid w:val="6BF57F13"/>
    <w:rsid w:val="6E7B69CA"/>
    <w:rsid w:val="6E7E4691"/>
    <w:rsid w:val="6EA22D58"/>
    <w:rsid w:val="705D58B8"/>
    <w:rsid w:val="72420550"/>
    <w:rsid w:val="726E3979"/>
    <w:rsid w:val="7E0C675C"/>
    <w:rsid w:val="7EBFE696"/>
    <w:rsid w:val="7FE55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0"/>
    <w:unhideWhenUsed/>
    <w:qFormat/>
    <w:uiPriority w:val="9"/>
    <w:pPr>
      <w:keepNext/>
      <w:keepLines/>
      <w:spacing w:before="260" w:after="260" w:line="416" w:lineRule="auto"/>
      <w:outlineLvl w:val="1"/>
    </w:pPr>
    <w:rPr>
      <w:rFonts w:ascii="Cambria" w:hAnsi="Cambria"/>
      <w:b/>
      <w:bCs/>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line="240" w:lineRule="auto"/>
      <w:ind w:left="420" w:leftChars="200" w:firstLine="420"/>
    </w:pPr>
  </w:style>
  <w:style w:type="paragraph" w:styleId="3">
    <w:name w:val="Body Text Indent"/>
    <w:basedOn w:val="1"/>
    <w:qFormat/>
    <w:uiPriority w:val="0"/>
    <w:pPr>
      <w:spacing w:line="560" w:lineRule="exact"/>
      <w:ind w:firstLine="640" w:firstLineChars="200"/>
    </w:pPr>
  </w:style>
  <w:style w:type="paragraph" w:styleId="4">
    <w:name w:val="index 5"/>
    <w:basedOn w:val="1"/>
    <w:next w:val="1"/>
    <w:qFormat/>
    <w:uiPriority w:val="0"/>
    <w:pPr>
      <w:ind w:left="1680"/>
    </w:pPr>
  </w:style>
  <w:style w:type="paragraph" w:styleId="7">
    <w:name w:val="Body Text"/>
    <w:basedOn w:val="1"/>
    <w:next w:val="1"/>
    <w:qFormat/>
    <w:uiPriority w:val="99"/>
    <w:pPr>
      <w:spacing w:beforeLines="30"/>
    </w:pPr>
    <w:rPr>
      <w:rFonts w:ascii="仿宋_GB2312"/>
      <w:kern w:val="0"/>
      <w:sz w:val="24"/>
      <w:szCs w:val="20"/>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spacing w:before="120"/>
      <w:jc w:val="left"/>
    </w:pPr>
    <w:rPr>
      <w:rFonts w:ascii="等线" w:eastAsia="等线"/>
      <w:b/>
      <w:bCs/>
      <w:i/>
      <w:iCs/>
      <w:sz w:val="24"/>
    </w:rPr>
  </w:style>
  <w:style w:type="paragraph" w:styleId="11">
    <w:name w:val="toc 2"/>
    <w:basedOn w:val="1"/>
    <w:next w:val="1"/>
    <w:unhideWhenUsed/>
    <w:qFormat/>
    <w:uiPriority w:val="39"/>
    <w:pPr>
      <w:spacing w:before="120"/>
      <w:ind w:left="300"/>
      <w:jc w:val="left"/>
    </w:pPr>
    <w:rPr>
      <w:rFonts w:ascii="等线" w:eastAsia="等线"/>
      <w:b/>
      <w:bCs/>
      <w:sz w:val="22"/>
      <w:szCs w:val="22"/>
    </w:rPr>
  </w:style>
  <w:style w:type="character" w:styleId="14">
    <w:name w:val="Strong"/>
    <w:basedOn w:val="13"/>
    <w:qFormat/>
    <w:uiPriority w:val="99"/>
    <w:rPr>
      <w:rFonts w:cs="Times New Roman"/>
      <w:b/>
    </w:rPr>
  </w:style>
  <w:style w:type="character" w:styleId="15">
    <w:name w:val="Hyperlink"/>
    <w:unhideWhenUsed/>
    <w:qFormat/>
    <w:uiPriority w:val="99"/>
    <w:rPr>
      <w:color w:val="0000FF"/>
      <w:u w:val="single"/>
    </w:rPr>
  </w:style>
  <w:style w:type="character" w:customStyle="1" w:styleId="16">
    <w:name w:val="标题 1 字符"/>
    <w:basedOn w:val="13"/>
    <w:link w:val="5"/>
    <w:qFormat/>
    <w:locked/>
    <w:uiPriority w:val="9"/>
    <w:rPr>
      <w:b/>
      <w:bCs/>
      <w:kern w:val="44"/>
      <w:sz w:val="44"/>
      <w:szCs w:val="44"/>
    </w:rPr>
  </w:style>
  <w:style w:type="character" w:customStyle="1" w:styleId="17">
    <w:name w:val="Char Char5"/>
    <w:basedOn w:val="13"/>
    <w:qFormat/>
    <w:locked/>
    <w:uiPriority w:val="9"/>
    <w:rPr>
      <w:rFonts w:ascii="Cambria" w:hAnsi="Cambria"/>
      <w:b/>
      <w:bCs/>
      <w:sz w:val="32"/>
      <w:szCs w:val="32"/>
    </w:rPr>
  </w:style>
  <w:style w:type="paragraph" w:customStyle="1" w:styleId="18">
    <w:name w:val="列出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标题 2 字符"/>
    <w:basedOn w:val="13"/>
    <w:link w:val="6"/>
    <w:qFormat/>
    <w:uiPriority w:val="9"/>
    <w:rPr>
      <w:rFonts w:asciiTheme="majorHAnsi" w:hAnsiTheme="majorHAnsi" w:eastAsiaTheme="majorEastAsia" w:cstheme="majorBidi"/>
      <w:b/>
      <w:bCs/>
      <w:kern w:val="2"/>
      <w:sz w:val="32"/>
      <w:szCs w:val="32"/>
    </w:rPr>
  </w:style>
  <w:style w:type="paragraph" w:customStyle="1" w:styleId="21">
    <w:name w:val="四号正文"/>
    <w:basedOn w:val="1"/>
    <w:qFormat/>
    <w:uiPriority w:val="0"/>
    <w:pPr>
      <w:widowControl/>
      <w:spacing w:line="360" w:lineRule="auto"/>
      <w:jc w:val="left"/>
    </w:pPr>
    <w:rPr>
      <w:rFonts w:ascii="??" w:hAnsi="??" w:eastAsia="宋体"/>
      <w:color w:val="000000"/>
      <w:kern w:val="0"/>
      <w:sz w:val="28"/>
      <w:szCs w:val="21"/>
    </w:rPr>
  </w:style>
  <w:style w:type="character" w:customStyle="1" w:styleId="22">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325"/>
          <c:y val="0.130833333333333"/>
          <c:w val="0.905175"/>
          <c:h val="0.7169"/>
        </c:manualLayout>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428.08</c:v>
                </c:pt>
                <c:pt idx="1">
                  <c:v>428.08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474.44</c:v>
                </c:pt>
                <c:pt idx="1">
                  <c:v>474.44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8873614"/>
        <c:axId val="241110424"/>
      </c:barChart>
      <c:catAx>
        <c:axId val="978873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110424"/>
        <c:crosses val="autoZero"/>
        <c:auto val="1"/>
        <c:lblAlgn val="ctr"/>
        <c:lblOffset val="100"/>
        <c:noMultiLvlLbl val="0"/>
      </c:catAx>
      <c:valAx>
        <c:axId val="24111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87361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[工作簿1]Sheet1!$A$1:$A$8</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[工作簿1]Sheet1!$B$1:$B$8</c:f>
              <c:numCache>
                <c:formatCode>General</c:formatCode>
                <c:ptCount val="8"/>
                <c:pt idx="0">
                  <c:v>473.44</c:v>
                </c:pt>
                <c:pt idx="1">
                  <c:v>1</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20324005891016"/>
          <c:y val="0.0672222222222222"/>
          <c:w val="0.577687776141384"/>
          <c:h val="0.87166666666666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[工作簿1]Sheet2!$A$1:$A$5</c:f>
              <c:strCache>
                <c:ptCount val="5"/>
                <c:pt idx="0">
                  <c:v>基本支出</c:v>
                </c:pt>
                <c:pt idx="1">
                  <c:v>项目支出</c:v>
                </c:pt>
                <c:pt idx="2">
                  <c:v>上缴上级支出</c:v>
                </c:pt>
                <c:pt idx="3">
                  <c:v>经营支出</c:v>
                </c:pt>
                <c:pt idx="4">
                  <c:v>对附属单位补助支出</c:v>
                </c:pt>
              </c:strCache>
            </c:strRef>
          </c:cat>
          <c:val>
            <c:numRef>
              <c:f>[工作簿1]Sheet2!$B$1:$B$5</c:f>
              <c:numCache>
                <c:formatCode>General</c:formatCode>
                <c:ptCount val="5"/>
                <c:pt idx="0">
                  <c:v>384.34</c:v>
                </c:pt>
                <c:pt idx="1">
                  <c:v>126.1</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4948453608247"/>
          <c:y val="0.181111111111111"/>
          <c:w val="0.319219440353461"/>
          <c:h val="0.8105555555555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325"/>
          <c:y val="0.130833333333333"/>
          <c:w val="0.905175"/>
          <c:h val="0.7169"/>
        </c:manualLayout>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428.08</c:v>
                </c:pt>
                <c:pt idx="1">
                  <c:v>428.08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474.44</c:v>
                </c:pt>
                <c:pt idx="1">
                  <c:v>474.44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8873614"/>
        <c:axId val="241110424"/>
      </c:barChart>
      <c:catAx>
        <c:axId val="978873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110424"/>
        <c:crosses val="autoZero"/>
        <c:auto val="1"/>
        <c:lblAlgn val="ctr"/>
        <c:lblOffset val="100"/>
        <c:noMultiLvlLbl val="0"/>
      </c:catAx>
      <c:valAx>
        <c:axId val="24111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873614"/>
        <c:crosses val="autoZero"/>
        <c:crossBetween val="between"/>
      </c:valAx>
      <c:spPr>
        <a:noFill/>
        <a:ln>
          <a:noFill/>
        </a:ln>
        <a:effectLst/>
      </c:spPr>
    </c:plotArea>
    <c:legend>
      <c:legendPos val="b"/>
      <c:legendEntry>
        <c:idx val="2"/>
        <c:delete val="1"/>
      </c:legendEntry>
      <c:layout>
        <c:manualLayout>
          <c:xMode val="edge"/>
          <c:yMode val="edge"/>
          <c:x val="0.380399619410086"/>
          <c:y val="0.925717501406865"/>
          <c:w val="0.239200761179829"/>
          <c:h val="0.06584130557118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325"/>
          <c:y val="0.130833333333333"/>
          <c:w val="0.905175"/>
          <c:h val="0.7169"/>
        </c:manualLayout>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财政拨款支出</c:v>
                </c:pt>
              </c:strCache>
            </c:strRef>
          </c:cat>
          <c:val>
            <c:numRef>
              <c:f>Sheet1!$B$2</c:f>
              <c:numCache>
                <c:formatCode>General</c:formatCode>
                <c:ptCount val="1"/>
                <c:pt idx="0">
                  <c:v>428.08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财政拨款支出</c:v>
                </c:pt>
              </c:strCache>
            </c:strRef>
          </c:cat>
          <c:val>
            <c:numRef>
              <c:f>Sheet1!$C$2</c:f>
              <c:numCache>
                <c:formatCode>General</c:formatCode>
                <c:ptCount val="1"/>
                <c:pt idx="0">
                  <c:v>474.44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8873614"/>
        <c:axId val="241110424"/>
      </c:barChart>
      <c:catAx>
        <c:axId val="978873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110424"/>
        <c:crosses val="autoZero"/>
        <c:auto val="1"/>
        <c:lblAlgn val="ctr"/>
        <c:lblOffset val="100"/>
        <c:noMultiLvlLbl val="0"/>
      </c:catAx>
      <c:valAx>
        <c:axId val="24111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873614"/>
        <c:crosses val="autoZero"/>
        <c:crossBetween val="between"/>
      </c:valAx>
      <c:spPr>
        <a:noFill/>
        <a:ln>
          <a:noFill/>
        </a:ln>
        <a:effectLst/>
      </c:spPr>
    </c:plotArea>
    <c:legend>
      <c:legendPos val="b"/>
      <c:legendEntry>
        <c:idx val="2"/>
        <c:delete val="1"/>
      </c:legendEntry>
      <c:layout>
        <c:manualLayout>
          <c:xMode val="edge"/>
          <c:yMode val="edge"/>
          <c:x val="0.645167812373635"/>
          <c:y val="0.929075760759738"/>
          <c:w val="0.224019409623939"/>
          <c:h val="0.053655475368685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30023455824864"/>
          <c:y val="0.18910088865656"/>
          <c:w val="0.557271305707584"/>
          <c:h val="0.745164662833246"/>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[工作簿1]Sheet5!$A$1:$A$4</c:f>
              <c:strCache>
                <c:ptCount val="4"/>
                <c:pt idx="0">
                  <c:v>一般公共服务支出</c:v>
                </c:pt>
                <c:pt idx="1">
                  <c:v>社会保障和就业支出</c:v>
                </c:pt>
                <c:pt idx="2">
                  <c:v>卫生健康支出</c:v>
                </c:pt>
                <c:pt idx="3">
                  <c:v>住房保障支出</c:v>
                </c:pt>
              </c:strCache>
            </c:strRef>
          </c:cat>
          <c:val>
            <c:numRef>
              <c:f>[工作簿1]Sheet5!$B$1:$B$4</c:f>
              <c:numCache>
                <c:formatCode>General</c:formatCode>
                <c:ptCount val="4"/>
                <c:pt idx="0">
                  <c:v>365.45</c:v>
                </c:pt>
                <c:pt idx="1">
                  <c:v>79.07</c:v>
                </c:pt>
                <c:pt idx="2">
                  <c:v>12.06</c:v>
                </c:pt>
                <c:pt idx="3">
                  <c:v>16.86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[工作簿1]Sheet1!$B$3:$B$5</c:f>
              <c:strCache>
                <c:ptCount val="3"/>
                <c:pt idx="0">
                  <c:v>因公出国（境）费支出决算</c:v>
                </c:pt>
                <c:pt idx="1">
                  <c:v>公务用车购置及运行维护费支出</c:v>
                </c:pt>
                <c:pt idx="2">
                  <c:v>公务接待费支出</c:v>
                </c:pt>
              </c:strCache>
            </c:strRef>
          </c:cat>
          <c:val>
            <c:numRef>
              <c:f>[工作簿1]Sheet1!$C$3:$C$5</c:f>
              <c:numCache>
                <c:formatCode>General</c:formatCode>
                <c:ptCount val="3"/>
                <c:pt idx="0">
                  <c:v>0</c:v>
                </c:pt>
                <c:pt idx="1">
                  <c:v>2.49</c:v>
                </c:pt>
                <c:pt idx="2">
                  <c:v>0.98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6192</Words>
  <Characters>35295</Characters>
  <Lines>294</Lines>
  <Paragraphs>82</Paragraphs>
  <TotalTime>7</TotalTime>
  <ScaleCrop>false</ScaleCrop>
  <LinksUpToDate>false</LinksUpToDate>
  <CharactersWithSpaces>41405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2021-09-09T03:29:00Z</dcterms:created>
  <dc:creator>Administrator</dc:creator>
  <cp:lastModifiedBy>阿布</cp:lastModifiedBy>
  <cp:lastPrinted>2022-09-22T04:12:00Z</cp:lastPrinted>
  <dcterms:modified xsi:type="dcterms:W3CDTF">2023-09-18T03:22:22Z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1515E8B82F3C4AB58371D091E4BCA2C8</vt:lpwstr>
  </property>
</Properties>
</file>